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82694E" w14:textId="2F69284F" w:rsidR="006D3A53" w:rsidRPr="00B56577" w:rsidRDefault="006D3A53" w:rsidP="006D3A53">
      <w:pPr>
        <w:pStyle w:val="Heading1"/>
        <w:ind w:left="848" w:hanging="848"/>
        <w:rPr>
          <w:rFonts w:ascii="Lato" w:hAnsi="Lato"/>
        </w:rPr>
      </w:pPr>
      <w:r w:rsidRPr="00B56577">
        <w:rPr>
          <w:rFonts w:ascii="Lato" w:hAnsi="Lato"/>
        </w:rPr>
        <w:t>Summary Information</w:t>
      </w:r>
    </w:p>
    <w:tbl>
      <w:tblPr>
        <w:tblW w:w="0" w:type="auto"/>
        <w:tblLook w:val="0480" w:firstRow="0" w:lastRow="0" w:firstColumn="1" w:lastColumn="0" w:noHBand="0" w:noVBand="1"/>
      </w:tblPr>
      <w:tblGrid>
        <w:gridCol w:w="3162"/>
        <w:gridCol w:w="8091"/>
      </w:tblGrid>
      <w:tr w:rsidR="00156F7C" w:rsidRPr="00B56577" w14:paraId="0CE5EFCA" w14:textId="77777777" w:rsidTr="009E63EB">
        <w:trPr>
          <w:cantSplit/>
          <w:trHeight w:val="20"/>
        </w:trPr>
        <w:tc>
          <w:tcPr>
            <w:tcW w:w="0" w:type="auto"/>
            <w:vAlign w:val="center"/>
          </w:tcPr>
          <w:p w14:paraId="3556C53A" w14:textId="7C2CA956" w:rsidR="00156F7C" w:rsidRPr="00B56577" w:rsidRDefault="00156F7C" w:rsidP="009E63EB">
            <w:pPr>
              <w:pStyle w:val="BodyTextBold"/>
              <w:jc w:val="right"/>
              <w:rPr>
                <w:rFonts w:ascii="Lato" w:hAnsi="Lato"/>
              </w:rPr>
            </w:pPr>
            <w:r w:rsidRPr="00B56577">
              <w:rPr>
                <w:rFonts w:ascii="Lato" w:hAnsi="Lato"/>
              </w:rPr>
              <w:t>Topic:</w:t>
            </w:r>
          </w:p>
        </w:tc>
        <w:tc>
          <w:tcPr>
            <w:tcW w:w="0" w:type="auto"/>
            <w:vAlign w:val="center"/>
          </w:tcPr>
          <w:p w14:paraId="5CD906C7" w14:textId="2392B217" w:rsidR="00156F7C" w:rsidRPr="00B56577" w:rsidRDefault="00DA6039" w:rsidP="009E63EB">
            <w:pPr>
              <w:pStyle w:val="BodyTextBold"/>
              <w:rPr>
                <w:rFonts w:ascii="Lato" w:hAnsi="Lato"/>
                <w:b w:val="0"/>
              </w:rPr>
            </w:pPr>
            <w:r w:rsidRPr="00DA6039">
              <w:rPr>
                <w:rFonts w:ascii="Lato" w:hAnsi="Lato"/>
                <w:b w:val="0"/>
              </w:rPr>
              <w:t>DP218 ‘Review of the SEC Charging Methodology’</w:t>
            </w:r>
            <w:r>
              <w:rPr>
                <w:rFonts w:ascii="Lato" w:hAnsi="Lato"/>
                <w:b w:val="0"/>
              </w:rPr>
              <w:t xml:space="preserve"> Request for Information (RFI)</w:t>
            </w:r>
          </w:p>
        </w:tc>
      </w:tr>
      <w:tr w:rsidR="00E218D7" w:rsidRPr="00B56577" w14:paraId="7DADE0EA" w14:textId="77777777" w:rsidTr="009E63EB">
        <w:trPr>
          <w:cantSplit/>
          <w:trHeight w:val="20"/>
        </w:trPr>
        <w:tc>
          <w:tcPr>
            <w:tcW w:w="0" w:type="auto"/>
            <w:vAlign w:val="center"/>
          </w:tcPr>
          <w:p w14:paraId="045E4C98" w14:textId="011E22E0" w:rsidR="00E218D7" w:rsidRPr="00B56577" w:rsidRDefault="00156F7C" w:rsidP="009E63EB">
            <w:pPr>
              <w:pStyle w:val="BodyTextBold"/>
              <w:jc w:val="right"/>
              <w:rPr>
                <w:rFonts w:ascii="Lato" w:hAnsi="Lato"/>
              </w:rPr>
            </w:pPr>
            <w:r w:rsidRPr="00B56577">
              <w:rPr>
                <w:rFonts w:ascii="Lato" w:hAnsi="Lato"/>
              </w:rPr>
              <w:t>Due Date:</w:t>
            </w:r>
          </w:p>
        </w:tc>
        <w:tc>
          <w:tcPr>
            <w:tcW w:w="0" w:type="auto"/>
            <w:vAlign w:val="center"/>
          </w:tcPr>
          <w:p w14:paraId="30AD2695" w14:textId="64A9D598" w:rsidR="00E218D7" w:rsidRPr="00B56577" w:rsidRDefault="00BD0222" w:rsidP="009E63EB">
            <w:pPr>
              <w:pStyle w:val="BodyTextBold"/>
              <w:rPr>
                <w:rFonts w:ascii="Lato" w:hAnsi="Lato"/>
                <w:b w:val="0"/>
              </w:rPr>
            </w:pPr>
            <w:r>
              <w:rPr>
                <w:rFonts w:ascii="Lato" w:hAnsi="Lato"/>
                <w:b w:val="0"/>
              </w:rPr>
              <w:t>25</w:t>
            </w:r>
            <w:r w:rsidR="00FF59EF" w:rsidRPr="00B56577">
              <w:rPr>
                <w:rFonts w:ascii="Lato" w:hAnsi="Lato"/>
                <w:b w:val="0"/>
              </w:rPr>
              <w:t xml:space="preserve"> </w:t>
            </w:r>
            <w:r w:rsidR="00DA6039">
              <w:rPr>
                <w:rFonts w:ascii="Lato" w:hAnsi="Lato"/>
                <w:b w:val="0"/>
              </w:rPr>
              <w:t>June</w:t>
            </w:r>
            <w:r w:rsidR="00AA7EDE" w:rsidRPr="00B56577">
              <w:rPr>
                <w:rFonts w:ascii="Lato" w:hAnsi="Lato"/>
                <w:b w:val="0"/>
              </w:rPr>
              <w:t xml:space="preserve"> 2024</w:t>
            </w:r>
          </w:p>
        </w:tc>
      </w:tr>
      <w:tr w:rsidR="00233DEA" w:rsidRPr="00B56577" w14:paraId="4497CC0A" w14:textId="77777777" w:rsidTr="009E63EB">
        <w:trPr>
          <w:cantSplit/>
          <w:trHeight w:val="20"/>
        </w:trPr>
        <w:tc>
          <w:tcPr>
            <w:tcW w:w="0" w:type="auto"/>
            <w:vAlign w:val="center"/>
          </w:tcPr>
          <w:p w14:paraId="09B86D7E" w14:textId="2080C760" w:rsidR="00233DEA" w:rsidRPr="00B56577" w:rsidRDefault="00233DEA" w:rsidP="009E63EB">
            <w:pPr>
              <w:pStyle w:val="BodyTextBold"/>
              <w:jc w:val="right"/>
              <w:rPr>
                <w:rFonts w:ascii="Lato" w:hAnsi="Lato"/>
              </w:rPr>
            </w:pPr>
            <w:r w:rsidRPr="00B56577">
              <w:rPr>
                <w:rFonts w:ascii="Lato" w:hAnsi="Lato"/>
              </w:rPr>
              <w:t>DCC Contact</w:t>
            </w:r>
          </w:p>
        </w:tc>
        <w:tc>
          <w:tcPr>
            <w:tcW w:w="0" w:type="auto"/>
            <w:vAlign w:val="center"/>
          </w:tcPr>
          <w:p w14:paraId="034D3931" w14:textId="344B71CB" w:rsidR="0086498F" w:rsidRPr="00B56577" w:rsidRDefault="009711E6" w:rsidP="0086498F">
            <w:pPr>
              <w:pStyle w:val="BodyTextBold"/>
              <w:rPr>
                <w:rFonts w:ascii="Lato" w:hAnsi="Lato"/>
                <w:b w:val="0"/>
              </w:rPr>
            </w:pPr>
            <w:hyperlink r:id="rId11" w:history="1">
              <w:r w:rsidR="0086498F" w:rsidRPr="00B56577">
                <w:rPr>
                  <w:rStyle w:val="Hyperlink"/>
                  <w:rFonts w:ascii="Lato" w:hAnsi="Lato"/>
                </w:rPr>
                <w:t>consultations@smartdcc.co.uk</w:t>
              </w:r>
            </w:hyperlink>
            <w:hyperlink r:id="rId12" w:history="1"/>
            <w:r w:rsidR="00B86663" w:rsidRPr="00B56577">
              <w:rPr>
                <w:rFonts w:ascii="Lato" w:hAnsi="Lato"/>
                <w:b w:val="0"/>
              </w:rPr>
              <w:t xml:space="preserve"> </w:t>
            </w:r>
          </w:p>
        </w:tc>
      </w:tr>
      <w:tr w:rsidR="00F3668C" w:rsidRPr="00B56577" w14:paraId="35E4BAFE" w14:textId="77777777" w:rsidTr="009E63EB">
        <w:trPr>
          <w:cantSplit/>
          <w:trHeight w:val="20"/>
        </w:trPr>
        <w:tc>
          <w:tcPr>
            <w:tcW w:w="0" w:type="auto"/>
            <w:vAlign w:val="center"/>
          </w:tcPr>
          <w:p w14:paraId="40E02368" w14:textId="75A64786" w:rsidR="00F3668C" w:rsidRPr="00B56577" w:rsidRDefault="00F3668C" w:rsidP="009E63EB">
            <w:pPr>
              <w:pStyle w:val="BodyTextBold"/>
              <w:jc w:val="right"/>
              <w:rPr>
                <w:rFonts w:ascii="Lato" w:hAnsi="Lato"/>
              </w:rPr>
            </w:pPr>
            <w:r w:rsidRPr="00B56577">
              <w:rPr>
                <w:rFonts w:ascii="Lato" w:hAnsi="Lato"/>
              </w:rPr>
              <w:t>Respondent</w:t>
            </w:r>
            <w:r w:rsidR="00F2706B" w:rsidRPr="00B56577">
              <w:rPr>
                <w:rFonts w:ascii="Lato" w:hAnsi="Lato"/>
              </w:rPr>
              <w:t>:</w:t>
            </w:r>
          </w:p>
        </w:tc>
        <w:tc>
          <w:tcPr>
            <w:tcW w:w="0" w:type="auto"/>
            <w:vAlign w:val="center"/>
          </w:tcPr>
          <w:p w14:paraId="71BB34C7" w14:textId="40EB32E9" w:rsidR="00F3668C" w:rsidRPr="00B56577" w:rsidRDefault="00EF7A20" w:rsidP="009E63EB">
            <w:pPr>
              <w:pStyle w:val="BodyTextBold"/>
              <w:rPr>
                <w:rFonts w:ascii="Lato" w:hAnsi="Lato"/>
                <w:b w:val="0"/>
              </w:rPr>
            </w:pPr>
            <w:r>
              <w:rPr>
                <w:rFonts w:ascii="Lato" w:hAnsi="Lato"/>
                <w:b w:val="0"/>
              </w:rPr>
              <w:t>National Grid Electricity Distribution</w:t>
            </w:r>
          </w:p>
        </w:tc>
      </w:tr>
      <w:tr w:rsidR="0052508C" w:rsidRPr="00B56577" w14:paraId="46767574" w14:textId="77777777" w:rsidTr="009E63EB">
        <w:trPr>
          <w:cantSplit/>
          <w:trHeight w:val="20"/>
        </w:trPr>
        <w:tc>
          <w:tcPr>
            <w:tcW w:w="0" w:type="auto"/>
            <w:vAlign w:val="center"/>
          </w:tcPr>
          <w:p w14:paraId="0CDA6965" w14:textId="0A830E43" w:rsidR="0052508C" w:rsidRPr="00B56577" w:rsidRDefault="0052508C" w:rsidP="009E63EB">
            <w:pPr>
              <w:pStyle w:val="BodyTextBold"/>
              <w:jc w:val="right"/>
              <w:rPr>
                <w:rFonts w:ascii="Lato" w:hAnsi="Lato"/>
              </w:rPr>
            </w:pPr>
            <w:r w:rsidRPr="00B56577">
              <w:rPr>
                <w:rFonts w:ascii="Lato" w:hAnsi="Lato"/>
              </w:rPr>
              <w:t xml:space="preserve">Contact </w:t>
            </w:r>
            <w:r w:rsidR="00F2706B" w:rsidRPr="00B56577">
              <w:rPr>
                <w:rFonts w:ascii="Lato" w:hAnsi="Lato"/>
              </w:rPr>
              <w:t>Name:</w:t>
            </w:r>
          </w:p>
        </w:tc>
        <w:tc>
          <w:tcPr>
            <w:tcW w:w="0" w:type="auto"/>
            <w:vAlign w:val="center"/>
          </w:tcPr>
          <w:p w14:paraId="320A0BE1" w14:textId="3DBF2E8D" w:rsidR="0052508C" w:rsidRPr="00B56577" w:rsidRDefault="00EF7A20" w:rsidP="009E63EB">
            <w:pPr>
              <w:pStyle w:val="BodyTextBold"/>
              <w:rPr>
                <w:rFonts w:ascii="Lato" w:hAnsi="Lato"/>
                <w:b w:val="0"/>
              </w:rPr>
            </w:pPr>
            <w:r>
              <w:rPr>
                <w:rFonts w:ascii="Lato" w:hAnsi="Lato"/>
                <w:b w:val="0"/>
              </w:rPr>
              <w:t>Rachael Prosser</w:t>
            </w:r>
          </w:p>
        </w:tc>
      </w:tr>
      <w:tr w:rsidR="0052508C" w:rsidRPr="00B56577" w14:paraId="0921FF89" w14:textId="77777777" w:rsidTr="009E63EB">
        <w:trPr>
          <w:cantSplit/>
          <w:trHeight w:val="20"/>
        </w:trPr>
        <w:tc>
          <w:tcPr>
            <w:tcW w:w="0" w:type="auto"/>
            <w:vAlign w:val="center"/>
          </w:tcPr>
          <w:p w14:paraId="6B6C6EFF" w14:textId="2784D309" w:rsidR="0052508C" w:rsidRPr="00B56577" w:rsidRDefault="00F2706B" w:rsidP="009E63EB">
            <w:pPr>
              <w:pStyle w:val="BodyTextBold"/>
              <w:jc w:val="right"/>
              <w:rPr>
                <w:rFonts w:ascii="Lato" w:hAnsi="Lato"/>
              </w:rPr>
            </w:pPr>
            <w:r w:rsidRPr="00B56577">
              <w:rPr>
                <w:rFonts w:ascii="Lato" w:hAnsi="Lato"/>
              </w:rPr>
              <w:t>Contact Email:</w:t>
            </w:r>
          </w:p>
        </w:tc>
        <w:tc>
          <w:tcPr>
            <w:tcW w:w="0" w:type="auto"/>
            <w:vAlign w:val="center"/>
          </w:tcPr>
          <w:p w14:paraId="39EB0B6C" w14:textId="72072ED0" w:rsidR="0052508C" w:rsidRPr="00B56577" w:rsidRDefault="009711E6" w:rsidP="009E63EB">
            <w:pPr>
              <w:pStyle w:val="BodyTextBold"/>
              <w:rPr>
                <w:rFonts w:ascii="Lato" w:hAnsi="Lato"/>
                <w:b w:val="0"/>
              </w:rPr>
            </w:pPr>
            <w:hyperlink r:id="rId13" w:history="1">
              <w:r w:rsidR="00EF7A20" w:rsidRPr="00865DEF">
                <w:rPr>
                  <w:rStyle w:val="Hyperlink"/>
                  <w:rFonts w:ascii="Lato" w:hAnsi="Lato"/>
                  <w:b w:val="0"/>
                </w:rPr>
                <w:t>rprosser@nationalgrid.co.uk</w:t>
              </w:r>
            </w:hyperlink>
          </w:p>
        </w:tc>
      </w:tr>
      <w:tr w:rsidR="0052508C" w:rsidRPr="00B56577" w14:paraId="5074E105" w14:textId="77777777" w:rsidTr="009E63EB">
        <w:trPr>
          <w:cantSplit/>
          <w:trHeight w:val="20"/>
        </w:trPr>
        <w:tc>
          <w:tcPr>
            <w:tcW w:w="0" w:type="auto"/>
            <w:vAlign w:val="center"/>
          </w:tcPr>
          <w:p w14:paraId="2DD384EF" w14:textId="6D24E7A7" w:rsidR="0052508C" w:rsidRPr="00B56577" w:rsidRDefault="00F2706B" w:rsidP="009E63EB">
            <w:pPr>
              <w:pStyle w:val="BodyTextBold"/>
              <w:jc w:val="right"/>
              <w:rPr>
                <w:rFonts w:ascii="Lato" w:hAnsi="Lato"/>
              </w:rPr>
            </w:pPr>
            <w:r w:rsidRPr="00B56577">
              <w:rPr>
                <w:rFonts w:ascii="Lato" w:hAnsi="Lato"/>
              </w:rPr>
              <w:t>Contact Telephone Number:</w:t>
            </w:r>
          </w:p>
        </w:tc>
        <w:tc>
          <w:tcPr>
            <w:tcW w:w="0" w:type="auto"/>
            <w:vAlign w:val="center"/>
          </w:tcPr>
          <w:p w14:paraId="269F8317" w14:textId="1E5FE602" w:rsidR="0052508C" w:rsidRPr="00B56577" w:rsidRDefault="00EF7A20" w:rsidP="009E63EB">
            <w:pPr>
              <w:pStyle w:val="BodyTextBold"/>
              <w:rPr>
                <w:rFonts w:ascii="Lato" w:hAnsi="Lato"/>
                <w:b w:val="0"/>
              </w:rPr>
            </w:pPr>
            <w:r>
              <w:rPr>
                <w:rFonts w:ascii="Lato" w:hAnsi="Lato"/>
                <w:b w:val="0"/>
              </w:rPr>
              <w:t>01752 502248</w:t>
            </w:r>
          </w:p>
        </w:tc>
      </w:tr>
    </w:tbl>
    <w:p w14:paraId="77BB6E0D" w14:textId="77777777" w:rsidR="00B50B92" w:rsidRPr="00B56577" w:rsidRDefault="00B50B92" w:rsidP="00B56577">
      <w:pPr>
        <w:pStyle w:val="BodyTextBold"/>
        <w:rPr>
          <w:rFonts w:ascii="Lato" w:hAnsi="Lato"/>
          <w:b w:val="0"/>
        </w:rPr>
      </w:pPr>
      <w:bookmarkStart w:id="0" w:name="_Toc499294628"/>
    </w:p>
    <w:p w14:paraId="1AF268F8" w14:textId="77777777" w:rsidR="00B50B92" w:rsidRPr="00B56577" w:rsidRDefault="00B50B92">
      <w:pPr>
        <w:spacing w:before="0" w:after="0"/>
        <w:rPr>
          <w:rFonts w:ascii="Lato" w:eastAsia="Times New Roman" w:hAnsi="Lato" w:cs="Arial"/>
          <w:b/>
          <w:bCs/>
          <w:color w:val="1F144A" w:themeColor="text1"/>
          <w:kern w:val="32"/>
          <w:sz w:val="32"/>
          <w:szCs w:val="32"/>
        </w:rPr>
      </w:pPr>
      <w:r w:rsidRPr="00B56577">
        <w:rPr>
          <w:rFonts w:ascii="Lato" w:hAnsi="Lato"/>
        </w:rPr>
        <w:br w:type="page"/>
      </w:r>
    </w:p>
    <w:p w14:paraId="22E919AE" w14:textId="06995F89" w:rsidR="004064E0" w:rsidRDefault="00DC52C9" w:rsidP="00DC52C9">
      <w:pPr>
        <w:pStyle w:val="Heading1"/>
        <w:ind w:left="848" w:hanging="848"/>
        <w:rPr>
          <w:rFonts w:ascii="Lato" w:hAnsi="Lato"/>
          <w:b w:val="0"/>
        </w:rPr>
      </w:pPr>
      <w:r w:rsidRPr="00B56577">
        <w:rPr>
          <w:rFonts w:ascii="Lato" w:hAnsi="Lato"/>
        </w:rPr>
        <w:lastRenderedPageBreak/>
        <w:t>R</w:t>
      </w:r>
      <w:r w:rsidR="004064E0" w:rsidRPr="00B56577">
        <w:rPr>
          <w:rFonts w:ascii="Lato" w:hAnsi="Lato"/>
        </w:rPr>
        <w:t xml:space="preserve">esponses to the </w:t>
      </w:r>
      <w:r w:rsidR="002E637C">
        <w:rPr>
          <w:rFonts w:ascii="Lato" w:hAnsi="Lato"/>
        </w:rPr>
        <w:t xml:space="preserve">DP218 </w:t>
      </w:r>
      <w:r w:rsidR="009A718D">
        <w:rPr>
          <w:rFonts w:ascii="Lato" w:hAnsi="Lato"/>
        </w:rPr>
        <w:t>RFI</w:t>
      </w:r>
      <w:r w:rsidR="004064E0" w:rsidRPr="00B56577">
        <w:rPr>
          <w:rFonts w:ascii="Lato" w:hAnsi="Lato"/>
        </w:rPr>
        <w:t xml:space="preserve"> questions</w:t>
      </w:r>
      <w:bookmarkEnd w:id="0"/>
    </w:p>
    <w:p w14:paraId="108B4830" w14:textId="485E07C4" w:rsidR="00811A2D" w:rsidRPr="00601D9F" w:rsidRDefault="00811A2D" w:rsidP="00601D9F">
      <w:pPr>
        <w:pStyle w:val="Heading2"/>
        <w:keepNext w:val="0"/>
        <w:spacing w:before="220" w:after="220"/>
        <w:ind w:left="709" w:hanging="709"/>
        <w:rPr>
          <w:rFonts w:ascii="Lato" w:eastAsiaTheme="minorHAnsi" w:hAnsi="Lato" w:cstheme="minorBidi"/>
          <w:bCs w:val="0"/>
          <w:iCs w:val="0"/>
          <w:color w:val="CA005D"/>
          <w:szCs w:val="22"/>
        </w:rPr>
      </w:pPr>
      <w:r w:rsidRPr="00601D9F">
        <w:rPr>
          <w:rFonts w:ascii="Lato" w:eastAsiaTheme="minorHAnsi" w:hAnsi="Lato" w:cstheme="minorBidi"/>
          <w:bCs w:val="0"/>
          <w:iCs w:val="0"/>
          <w:color w:val="CA005D"/>
          <w:szCs w:val="22"/>
        </w:rPr>
        <w:t>Questions on key drivers for change and guiding principles</w:t>
      </w:r>
    </w:p>
    <w:tbl>
      <w:tblPr>
        <w:tblStyle w:val="TableTemplate1"/>
        <w:tblW w:w="5000" w:type="pct"/>
        <w:tblLook w:val="04A0" w:firstRow="1" w:lastRow="0" w:firstColumn="1" w:lastColumn="0" w:noHBand="0" w:noVBand="1"/>
      </w:tblPr>
      <w:tblGrid>
        <w:gridCol w:w="1048"/>
        <w:gridCol w:w="7022"/>
        <w:gridCol w:w="5868"/>
      </w:tblGrid>
      <w:tr w:rsidR="009E3938" w:rsidRPr="00B56577" w14:paraId="3E2A3BAD" w14:textId="77777777" w:rsidTr="00540F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6" w:type="pct"/>
          </w:tcPr>
          <w:p w14:paraId="68971F25" w14:textId="6F574FEE" w:rsidR="00674D62" w:rsidRPr="00B56577" w:rsidRDefault="004B2C0E" w:rsidP="00FE755A">
            <w:pPr>
              <w:pStyle w:val="TableText-Left"/>
              <w:spacing w:line="276" w:lineRule="auto"/>
              <w:jc w:val="center"/>
              <w:rPr>
                <w:rFonts w:ascii="Lato" w:hAnsi="Lato"/>
              </w:rPr>
            </w:pPr>
            <w:r w:rsidRPr="00B56577">
              <w:rPr>
                <w:rFonts w:ascii="Lato" w:hAnsi="Lato"/>
              </w:rPr>
              <w:t>Numb</w:t>
            </w:r>
            <w:r w:rsidR="00C22E7C">
              <w:rPr>
                <w:rFonts w:ascii="Lato" w:hAnsi="Lato"/>
              </w:rPr>
              <w:t>er</w:t>
            </w:r>
          </w:p>
        </w:tc>
        <w:tc>
          <w:tcPr>
            <w:tcW w:w="2519" w:type="pct"/>
          </w:tcPr>
          <w:p w14:paraId="0892CFD9" w14:textId="2C71B946"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2105" w:type="pct"/>
          </w:tcPr>
          <w:p w14:paraId="033C5F8C" w14:textId="07636174" w:rsidR="00674D62" w:rsidRPr="00B56577" w:rsidRDefault="00674D62" w:rsidP="00FE755A">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312F3A" w:rsidRPr="00B56577" w14:paraId="72511565" w14:textId="77777777" w:rsidTr="00540F8D">
        <w:trPr>
          <w:cantSplit/>
        </w:trPr>
        <w:tc>
          <w:tcPr>
            <w:cnfStyle w:val="001000000000" w:firstRow="0" w:lastRow="0" w:firstColumn="1" w:lastColumn="0" w:oddVBand="0" w:evenVBand="0" w:oddHBand="0" w:evenHBand="0" w:firstRowFirstColumn="0" w:firstRowLastColumn="0" w:lastRowFirstColumn="0" w:lastRowLastColumn="0"/>
            <w:tcW w:w="376" w:type="pct"/>
            <w:vAlign w:val="center"/>
          </w:tcPr>
          <w:p w14:paraId="1DCF235F" w14:textId="3D22C520" w:rsidR="00312F3A" w:rsidRPr="00B56577" w:rsidRDefault="00AB20FD" w:rsidP="00312F3A">
            <w:pPr>
              <w:pStyle w:val="TableText-Left"/>
              <w:spacing w:line="276" w:lineRule="auto"/>
              <w:jc w:val="center"/>
              <w:rPr>
                <w:rFonts w:ascii="Lato" w:hAnsi="Lato"/>
                <w:color w:val="auto"/>
              </w:rPr>
            </w:pPr>
            <w:r w:rsidRPr="00B56577">
              <w:rPr>
                <w:rFonts w:ascii="Lato" w:hAnsi="Lato"/>
                <w:color w:val="auto"/>
              </w:rPr>
              <w:t>Q1</w:t>
            </w:r>
          </w:p>
        </w:tc>
        <w:tc>
          <w:tcPr>
            <w:tcW w:w="2519" w:type="pct"/>
            <w:vAlign w:val="center"/>
          </w:tcPr>
          <w:p w14:paraId="2E8CAFFB" w14:textId="6C2B6662" w:rsidR="00312F3A" w:rsidRPr="00B56577" w:rsidRDefault="00E83697"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E83697">
              <w:rPr>
                <w:rFonts w:ascii="Lato" w:hAnsi="Lato"/>
              </w:rPr>
              <w:t>Do you have any comments and/or insights on the drivers of change identified in this chapter</w:t>
            </w:r>
            <w:r w:rsidR="00353BD1">
              <w:rPr>
                <w:rFonts w:ascii="Lato" w:hAnsi="Lato"/>
              </w:rPr>
              <w:t xml:space="preserve"> 1</w:t>
            </w:r>
            <w:r w:rsidRPr="00E83697">
              <w:rPr>
                <w:rFonts w:ascii="Lato" w:hAnsi="Lato"/>
              </w:rPr>
              <w:t>?</w:t>
            </w:r>
          </w:p>
        </w:tc>
        <w:tc>
          <w:tcPr>
            <w:tcW w:w="2105" w:type="pct"/>
            <w:vAlign w:val="center"/>
          </w:tcPr>
          <w:p w14:paraId="6647FA10" w14:textId="091E96A5" w:rsidR="00312F3A" w:rsidRPr="00B56577" w:rsidRDefault="00B52C64" w:rsidP="0003496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The Charging Methodology currently levied was constructed at the start of the Smart roll out with a future use case in mind where the Network Operator would scale up their use of the network. Therefore the current methodology </w:t>
            </w:r>
            <w:r w:rsidR="0003496C">
              <w:rPr>
                <w:rFonts w:ascii="Lato" w:hAnsi="Lato"/>
              </w:rPr>
              <w:t>is</w:t>
            </w:r>
            <w:r>
              <w:rPr>
                <w:rFonts w:ascii="Lato" w:hAnsi="Lato"/>
              </w:rPr>
              <w:t xml:space="preserve"> appropriate, as this was envisaged at conception. The conflation of Network Operator with the ‘Other Parties’ category incorrectly skews figures</w:t>
            </w:r>
            <w:r w:rsidR="00FA4CB2">
              <w:rPr>
                <w:rFonts w:ascii="Lato" w:hAnsi="Lato"/>
              </w:rPr>
              <w:t xml:space="preserve"> toward the ‘majority of DCC Network demand’, especially as it is highlighted that Suppliers may adopt the MDR Role.</w:t>
            </w:r>
          </w:p>
        </w:tc>
      </w:tr>
      <w:tr w:rsidR="00312F3A" w:rsidRPr="00B56577" w14:paraId="1746CC52" w14:textId="2BBE4DE6" w:rsidTr="00540F8D">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1EFB4CC4" w14:textId="3425F089" w:rsidR="00312F3A" w:rsidRPr="00B56577" w:rsidRDefault="00812636" w:rsidP="00312F3A">
            <w:pPr>
              <w:pStyle w:val="TableText-Left"/>
              <w:spacing w:line="276" w:lineRule="auto"/>
              <w:jc w:val="center"/>
              <w:rPr>
                <w:rFonts w:ascii="Lato" w:hAnsi="Lato"/>
                <w:color w:val="auto"/>
              </w:rPr>
            </w:pPr>
            <w:r w:rsidRPr="00B56577">
              <w:rPr>
                <w:rFonts w:ascii="Lato" w:hAnsi="Lato"/>
                <w:color w:val="auto"/>
              </w:rPr>
              <w:t>Q2</w:t>
            </w:r>
          </w:p>
        </w:tc>
        <w:tc>
          <w:tcPr>
            <w:tcW w:w="2519" w:type="pct"/>
            <w:vAlign w:val="center"/>
          </w:tcPr>
          <w:p w14:paraId="4A576EE9" w14:textId="760946CC" w:rsidR="00312F3A" w:rsidRPr="00B56577" w:rsidRDefault="00395E93" w:rsidP="00312F3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95E93">
              <w:rPr>
                <w:rFonts w:ascii="Lato" w:hAnsi="Lato"/>
              </w:rPr>
              <w:t>Do you have any comments on the guiding principles detailed at figure 4?</w:t>
            </w:r>
          </w:p>
        </w:tc>
        <w:tc>
          <w:tcPr>
            <w:tcW w:w="2105" w:type="pct"/>
            <w:vAlign w:val="center"/>
          </w:tcPr>
          <w:p w14:paraId="3EBF2CF3" w14:textId="2C5BD0C9" w:rsidR="00312F3A" w:rsidRPr="00B56577" w:rsidRDefault="004506A4" w:rsidP="004506A4">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agree with the guiding principles</w:t>
            </w:r>
          </w:p>
        </w:tc>
      </w:tr>
    </w:tbl>
    <w:p w14:paraId="0A15259C" w14:textId="77777777" w:rsidR="00C45A9D" w:rsidRDefault="00C45A9D"/>
    <w:p w14:paraId="7F917E21" w14:textId="0BA0B87E" w:rsidR="005D5D2A" w:rsidRPr="005D5D2A" w:rsidRDefault="005D5D2A" w:rsidP="005D5D2A">
      <w:pPr>
        <w:pStyle w:val="Heading2"/>
        <w:keepNext w:val="0"/>
        <w:spacing w:before="220" w:after="220"/>
        <w:ind w:left="709" w:hanging="709"/>
        <w:rPr>
          <w:rFonts w:ascii="Lato" w:eastAsiaTheme="minorHAnsi" w:hAnsi="Lato" w:cstheme="minorBidi"/>
          <w:bCs w:val="0"/>
          <w:iCs w:val="0"/>
          <w:color w:val="CA005D"/>
          <w:szCs w:val="22"/>
        </w:rPr>
      </w:pPr>
      <w:r w:rsidRPr="005D5D2A">
        <w:rPr>
          <w:rFonts w:ascii="Lato" w:eastAsiaTheme="minorHAnsi" w:hAnsi="Lato" w:cstheme="minorBidi"/>
          <w:bCs w:val="0"/>
          <w:iCs w:val="0"/>
          <w:color w:val="CA005D"/>
          <w:szCs w:val="22"/>
        </w:rPr>
        <w:t>Questions on scope of charges under review</w:t>
      </w:r>
    </w:p>
    <w:tbl>
      <w:tblPr>
        <w:tblStyle w:val="TableTemplate1"/>
        <w:tblW w:w="5000" w:type="pct"/>
        <w:tblLook w:val="04A0" w:firstRow="1" w:lastRow="0" w:firstColumn="1" w:lastColumn="0" w:noHBand="0" w:noVBand="1"/>
      </w:tblPr>
      <w:tblGrid>
        <w:gridCol w:w="1048"/>
        <w:gridCol w:w="7022"/>
        <w:gridCol w:w="5868"/>
      </w:tblGrid>
      <w:tr w:rsidR="00C45A9D" w:rsidRPr="00B56577" w14:paraId="6A4A2C72" w14:textId="77777777" w:rsidTr="00540F8D">
        <w:trPr>
          <w:cnfStyle w:val="100000000000" w:firstRow="1" w:lastRow="0" w:firstColumn="0" w:lastColumn="0" w:oddVBand="0" w:evenVBand="0" w:oddHBand="0" w:evenHBand="0" w:firstRowFirstColumn="0" w:firstRowLastColumn="0" w:lastRowFirstColumn="0" w:lastRowLastColumn="0"/>
          <w:trHeight w:val="66"/>
        </w:trPr>
        <w:tc>
          <w:tcPr>
            <w:cnfStyle w:val="001000000000" w:firstRow="0" w:lastRow="0" w:firstColumn="1" w:lastColumn="0" w:oddVBand="0" w:evenVBand="0" w:oddHBand="0" w:evenHBand="0" w:firstRowFirstColumn="0" w:firstRowLastColumn="0" w:lastRowFirstColumn="0" w:lastRowLastColumn="0"/>
            <w:tcW w:w="376" w:type="pct"/>
            <w:vAlign w:val="top"/>
          </w:tcPr>
          <w:p w14:paraId="196EB028" w14:textId="6558706E" w:rsidR="00C45A9D" w:rsidRPr="00B56577" w:rsidRDefault="00C45A9D" w:rsidP="00C45A9D">
            <w:pPr>
              <w:pStyle w:val="TableText-Left"/>
              <w:spacing w:line="276" w:lineRule="auto"/>
              <w:jc w:val="center"/>
              <w:rPr>
                <w:rFonts w:ascii="Lato" w:hAnsi="Lato"/>
              </w:rPr>
            </w:pPr>
            <w:r w:rsidRPr="00B56577">
              <w:rPr>
                <w:rFonts w:ascii="Lato" w:hAnsi="Lato"/>
              </w:rPr>
              <w:t>Numb</w:t>
            </w:r>
            <w:r>
              <w:rPr>
                <w:rFonts w:ascii="Lato" w:hAnsi="Lato"/>
              </w:rPr>
              <w:t>er</w:t>
            </w:r>
          </w:p>
        </w:tc>
        <w:tc>
          <w:tcPr>
            <w:tcW w:w="2519" w:type="pct"/>
            <w:vAlign w:val="top"/>
          </w:tcPr>
          <w:p w14:paraId="4668AB99" w14:textId="0CDE29EB" w:rsidR="00C45A9D" w:rsidRPr="007941CD" w:rsidRDefault="00C45A9D" w:rsidP="00C45A9D">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2105" w:type="pct"/>
            <w:vAlign w:val="top"/>
          </w:tcPr>
          <w:p w14:paraId="388BE7D8" w14:textId="41FADCCF" w:rsidR="00C45A9D" w:rsidRPr="00B56577" w:rsidRDefault="00C45A9D" w:rsidP="00C45A9D">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C45A9D" w:rsidRPr="00B56577" w14:paraId="57F37949" w14:textId="77777777" w:rsidTr="00540F8D">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3FD9F6E7" w14:textId="747B75F9" w:rsidR="00C45A9D" w:rsidRPr="00B56577" w:rsidRDefault="00C45A9D" w:rsidP="00C45A9D">
            <w:pPr>
              <w:pStyle w:val="TableText-Left"/>
              <w:spacing w:line="276" w:lineRule="auto"/>
              <w:jc w:val="center"/>
              <w:rPr>
                <w:rFonts w:ascii="Lato" w:hAnsi="Lato"/>
                <w:color w:val="auto"/>
              </w:rPr>
            </w:pPr>
            <w:r w:rsidRPr="00B56577">
              <w:rPr>
                <w:rFonts w:ascii="Lato" w:hAnsi="Lato"/>
                <w:color w:val="auto"/>
              </w:rPr>
              <w:t>Q3</w:t>
            </w:r>
          </w:p>
        </w:tc>
        <w:tc>
          <w:tcPr>
            <w:tcW w:w="2519" w:type="pct"/>
            <w:vAlign w:val="center"/>
          </w:tcPr>
          <w:p w14:paraId="27E1D502" w14:textId="170D0170" w:rsidR="00C45A9D" w:rsidRPr="00B56577" w:rsidRDefault="00A14040" w:rsidP="00C45A9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14040">
              <w:rPr>
                <w:rFonts w:ascii="Lato" w:hAnsi="Lato"/>
              </w:rPr>
              <w:t>Do you agree with the scope of this review given the proportion of costs recovered through Fixed Charges in DCC’s cost structure, including the need to better understand and categorise costs (e.g. transaction costs). If not, please explain why.</w:t>
            </w:r>
          </w:p>
        </w:tc>
        <w:tc>
          <w:tcPr>
            <w:tcW w:w="2105" w:type="pct"/>
            <w:vAlign w:val="center"/>
          </w:tcPr>
          <w:p w14:paraId="1DB58672" w14:textId="5A9870A0" w:rsidR="00C45A9D" w:rsidRPr="00B56577" w:rsidRDefault="0003496C" w:rsidP="00C45A9D">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b/>
                <w:bCs/>
              </w:rPr>
            </w:pPr>
            <w:r>
              <w:rPr>
                <w:rFonts w:ascii="Lato" w:hAnsi="Lato"/>
              </w:rPr>
              <w:t>NGED agree that the scope is appropriate, and that the Explicit Charging is outlined in the document accordingly</w:t>
            </w:r>
          </w:p>
        </w:tc>
      </w:tr>
    </w:tbl>
    <w:p w14:paraId="5B33F1EE" w14:textId="3383D6F1" w:rsidR="005D5D2A" w:rsidRPr="00773AE9" w:rsidRDefault="00773AE9" w:rsidP="00A14040">
      <w:pPr>
        <w:pStyle w:val="Heading2"/>
        <w:spacing w:before="220" w:after="220"/>
        <w:ind w:left="709" w:hanging="709"/>
        <w:rPr>
          <w:rFonts w:ascii="Lato" w:eastAsiaTheme="minorHAnsi" w:hAnsi="Lato" w:cstheme="minorBidi"/>
          <w:bCs w:val="0"/>
          <w:iCs w:val="0"/>
          <w:color w:val="CA005D"/>
          <w:szCs w:val="22"/>
        </w:rPr>
      </w:pPr>
      <w:r w:rsidRPr="00773AE9">
        <w:rPr>
          <w:rFonts w:ascii="Lato" w:eastAsiaTheme="minorHAnsi" w:hAnsi="Lato" w:cstheme="minorBidi"/>
          <w:bCs w:val="0"/>
          <w:iCs w:val="0"/>
          <w:color w:val="CA005D"/>
          <w:szCs w:val="22"/>
        </w:rPr>
        <w:t>Questions on uniform charging</w:t>
      </w:r>
    </w:p>
    <w:tbl>
      <w:tblPr>
        <w:tblStyle w:val="TableTemplate1"/>
        <w:tblW w:w="5000" w:type="pct"/>
        <w:tblLook w:val="04A0" w:firstRow="1" w:lastRow="0" w:firstColumn="1" w:lastColumn="0" w:noHBand="0" w:noVBand="1"/>
      </w:tblPr>
      <w:tblGrid>
        <w:gridCol w:w="1048"/>
        <w:gridCol w:w="7022"/>
        <w:gridCol w:w="5868"/>
      </w:tblGrid>
      <w:tr w:rsidR="00773AE9" w:rsidRPr="00B56577" w14:paraId="3D7A0C51" w14:textId="77777777" w:rsidTr="00540F8D">
        <w:trPr>
          <w:cnfStyle w:val="100000000000" w:firstRow="1" w:lastRow="0" w:firstColumn="0" w:lastColumn="0" w:oddVBand="0" w:evenVBand="0" w:oddHBand="0"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376" w:type="pct"/>
            <w:vAlign w:val="top"/>
          </w:tcPr>
          <w:p w14:paraId="5DD4C7DB" w14:textId="536689FE" w:rsidR="00773AE9" w:rsidRPr="00B56577" w:rsidRDefault="00773AE9" w:rsidP="00773AE9">
            <w:pPr>
              <w:pStyle w:val="TableText-Left"/>
              <w:spacing w:line="276" w:lineRule="auto"/>
              <w:jc w:val="center"/>
              <w:rPr>
                <w:rFonts w:ascii="Lato" w:hAnsi="Lato"/>
              </w:rPr>
            </w:pPr>
            <w:r w:rsidRPr="00B56577">
              <w:rPr>
                <w:rFonts w:ascii="Lato" w:hAnsi="Lato"/>
              </w:rPr>
              <w:t>Numb</w:t>
            </w:r>
            <w:r>
              <w:rPr>
                <w:rFonts w:ascii="Lato" w:hAnsi="Lato"/>
              </w:rPr>
              <w:t>er</w:t>
            </w:r>
          </w:p>
        </w:tc>
        <w:tc>
          <w:tcPr>
            <w:tcW w:w="2519" w:type="pct"/>
            <w:vAlign w:val="top"/>
          </w:tcPr>
          <w:p w14:paraId="4703F2BA" w14:textId="711DDB44" w:rsidR="00773AE9" w:rsidRPr="00B56577" w:rsidRDefault="00773AE9" w:rsidP="00773AE9">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2105" w:type="pct"/>
            <w:vAlign w:val="top"/>
          </w:tcPr>
          <w:p w14:paraId="7D839F0F" w14:textId="20470236" w:rsidR="00773AE9" w:rsidRPr="00B56577" w:rsidRDefault="00773AE9" w:rsidP="00773AE9">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773AE9" w:rsidRPr="00B56577" w14:paraId="181D936A" w14:textId="77777777" w:rsidTr="00540F8D">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17C61D7A" w14:textId="21B8D577" w:rsidR="00773AE9" w:rsidRPr="00C61661" w:rsidRDefault="00773AE9" w:rsidP="00773AE9">
            <w:pPr>
              <w:pStyle w:val="TableText-Left"/>
              <w:spacing w:line="276" w:lineRule="auto"/>
              <w:jc w:val="center"/>
              <w:rPr>
                <w:rFonts w:ascii="Lato" w:hAnsi="Lato"/>
              </w:rPr>
            </w:pPr>
            <w:r w:rsidRPr="00C61661">
              <w:rPr>
                <w:rFonts w:ascii="Lato" w:hAnsi="Lato"/>
                <w:color w:val="auto"/>
              </w:rPr>
              <w:t>Q4</w:t>
            </w:r>
          </w:p>
        </w:tc>
        <w:tc>
          <w:tcPr>
            <w:tcW w:w="2519" w:type="pct"/>
            <w:vAlign w:val="center"/>
          </w:tcPr>
          <w:p w14:paraId="26658F83" w14:textId="4AE20820" w:rsidR="00773AE9" w:rsidRPr="005B04E7" w:rsidRDefault="00773AE9" w:rsidP="00773AE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5B04E7">
              <w:rPr>
                <w:rFonts w:ascii="Lato" w:hAnsi="Lato"/>
              </w:rPr>
              <w:t>Do you agree that future DCC’s charges for the provision of mandated services should continue to be uniform across the country and across SMETS1 and SMETS2 meters?</w:t>
            </w:r>
          </w:p>
        </w:tc>
        <w:tc>
          <w:tcPr>
            <w:tcW w:w="2105" w:type="pct"/>
            <w:vAlign w:val="center"/>
          </w:tcPr>
          <w:p w14:paraId="213F654A" w14:textId="7F796B6B" w:rsidR="00773AE9" w:rsidRPr="00B56577" w:rsidRDefault="00F128F6" w:rsidP="00773AE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agree that these services should be uniform across the country and SMETS1 and SMETS2.</w:t>
            </w:r>
          </w:p>
        </w:tc>
      </w:tr>
    </w:tbl>
    <w:p w14:paraId="445F8E3A" w14:textId="77777777" w:rsidR="00F923FC" w:rsidRDefault="00F923FC"/>
    <w:p w14:paraId="1226E647" w14:textId="1B782C03" w:rsidR="00F923FC" w:rsidRPr="00F923FC" w:rsidRDefault="00F923FC" w:rsidP="00F923FC">
      <w:pPr>
        <w:pStyle w:val="Heading2"/>
        <w:keepNext w:val="0"/>
        <w:spacing w:before="220" w:after="220"/>
        <w:ind w:left="709" w:hanging="709"/>
        <w:rPr>
          <w:rFonts w:ascii="Lato" w:eastAsiaTheme="minorHAnsi" w:hAnsi="Lato" w:cstheme="minorBidi"/>
          <w:bCs w:val="0"/>
          <w:iCs w:val="0"/>
          <w:color w:val="CA005D"/>
          <w:szCs w:val="22"/>
        </w:rPr>
      </w:pPr>
      <w:r w:rsidRPr="00F923FC">
        <w:rPr>
          <w:rFonts w:ascii="Lato" w:eastAsiaTheme="minorHAnsi" w:hAnsi="Lato" w:cstheme="minorBidi"/>
          <w:bCs w:val="0"/>
          <w:iCs w:val="0"/>
          <w:color w:val="CA005D"/>
          <w:szCs w:val="22"/>
        </w:rPr>
        <w:t>Questions on the charging basis</w:t>
      </w:r>
    </w:p>
    <w:tbl>
      <w:tblPr>
        <w:tblStyle w:val="TableTemplate1"/>
        <w:tblW w:w="5000" w:type="pct"/>
        <w:tblLook w:val="04A0" w:firstRow="1" w:lastRow="0" w:firstColumn="1" w:lastColumn="0" w:noHBand="0" w:noVBand="1"/>
      </w:tblPr>
      <w:tblGrid>
        <w:gridCol w:w="1048"/>
        <w:gridCol w:w="7022"/>
        <w:gridCol w:w="5868"/>
      </w:tblGrid>
      <w:tr w:rsidR="00F923FC" w:rsidRPr="00B56577" w14:paraId="2C3F978A" w14:textId="77777777" w:rsidTr="00540F8D">
        <w:trPr>
          <w:cnfStyle w:val="100000000000" w:firstRow="1" w:lastRow="0" w:firstColumn="0" w:lastColumn="0" w:oddVBand="0" w:evenVBand="0" w:oddHBand="0" w:evenHBand="0" w:firstRowFirstColumn="0" w:firstRowLastColumn="0" w:lastRowFirstColumn="0" w:lastRowLastColumn="0"/>
          <w:trHeight w:val="191"/>
        </w:trPr>
        <w:tc>
          <w:tcPr>
            <w:cnfStyle w:val="001000000000" w:firstRow="0" w:lastRow="0" w:firstColumn="1" w:lastColumn="0" w:oddVBand="0" w:evenVBand="0" w:oddHBand="0" w:evenHBand="0" w:firstRowFirstColumn="0" w:firstRowLastColumn="0" w:lastRowFirstColumn="0" w:lastRowLastColumn="0"/>
            <w:tcW w:w="376" w:type="pct"/>
            <w:vAlign w:val="top"/>
          </w:tcPr>
          <w:p w14:paraId="62AA9916" w14:textId="32E55E5F" w:rsidR="00F923FC" w:rsidRPr="00B56577" w:rsidRDefault="00F923FC" w:rsidP="00F923FC">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2519" w:type="pct"/>
            <w:vAlign w:val="top"/>
          </w:tcPr>
          <w:p w14:paraId="45BFBEA7" w14:textId="6602EDC4" w:rsidR="00F923FC" w:rsidRPr="00B56577" w:rsidRDefault="00F923FC" w:rsidP="00F923F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2105" w:type="pct"/>
            <w:vAlign w:val="top"/>
          </w:tcPr>
          <w:p w14:paraId="6801E874" w14:textId="52B5BAF1" w:rsidR="00F923FC" w:rsidRPr="00B56577" w:rsidRDefault="00F923FC" w:rsidP="00F923F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F923FC" w:rsidRPr="00B56577" w14:paraId="0ABFB89B" w14:textId="77777777" w:rsidTr="00540F8D">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42157AC0" w14:textId="735619F3" w:rsidR="00F923FC" w:rsidRPr="00B56577" w:rsidRDefault="00F923FC" w:rsidP="00F923FC">
            <w:pPr>
              <w:pStyle w:val="TableText-Left"/>
              <w:spacing w:line="276" w:lineRule="auto"/>
              <w:jc w:val="center"/>
              <w:rPr>
                <w:rFonts w:ascii="Lato" w:hAnsi="Lato"/>
              </w:rPr>
            </w:pPr>
            <w:r w:rsidRPr="00B56577">
              <w:rPr>
                <w:rFonts w:ascii="Lato" w:hAnsi="Lato"/>
                <w:color w:val="auto"/>
              </w:rPr>
              <w:t>Q</w:t>
            </w:r>
            <w:r>
              <w:rPr>
                <w:rFonts w:ascii="Lato" w:hAnsi="Lato"/>
                <w:color w:val="auto"/>
              </w:rPr>
              <w:t>5</w:t>
            </w:r>
          </w:p>
        </w:tc>
        <w:tc>
          <w:tcPr>
            <w:tcW w:w="2519" w:type="pct"/>
            <w:vAlign w:val="center"/>
          </w:tcPr>
          <w:p w14:paraId="4D12EF6A" w14:textId="492E79B6" w:rsidR="00F923FC" w:rsidRPr="00DB40FD" w:rsidRDefault="00F923FC"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B40FD">
              <w:rPr>
                <w:rFonts w:ascii="Lato" w:hAnsi="Lato"/>
              </w:rPr>
              <w:t>In your view, what would be a suitable metric to set charges for different User Categories (e.g. Energy Suppliers, Network Operators, Other SEC Parties)?</w:t>
            </w:r>
          </w:p>
        </w:tc>
        <w:tc>
          <w:tcPr>
            <w:tcW w:w="2105" w:type="pct"/>
            <w:vAlign w:val="center"/>
          </w:tcPr>
          <w:p w14:paraId="6A77A347" w14:textId="799E50AD" w:rsidR="00F923FC" w:rsidRPr="00B56577" w:rsidRDefault="00540F8D" w:rsidP="0077215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As outlined in response to Question 1 – we believe that the current method remains fit for purpose, for the reason that the usage is as envisioned at the outset. However, there should be a mechanism in place which triggers charging to ‘Other Users’ as their use case of the network develops. Figure 1 should be elaborated upon where ‘OU’ is in both ‘Network Operator’ &amp; ‘Other Parties’ though to ensure allocation across user groups is correct. </w:t>
            </w:r>
          </w:p>
        </w:tc>
      </w:tr>
      <w:tr w:rsidR="00F923FC" w:rsidRPr="00B56577" w14:paraId="4C5BC2ED" w14:textId="77777777" w:rsidTr="00540F8D">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15249EED" w14:textId="6CB02A42" w:rsidR="00F923FC" w:rsidRPr="00B56577" w:rsidRDefault="00F923FC" w:rsidP="00F923FC">
            <w:pPr>
              <w:pStyle w:val="TableText-Left"/>
              <w:spacing w:line="276" w:lineRule="auto"/>
              <w:jc w:val="center"/>
              <w:rPr>
                <w:rFonts w:ascii="Lato" w:hAnsi="Lato"/>
                <w:color w:val="auto"/>
              </w:rPr>
            </w:pPr>
            <w:r w:rsidRPr="00B56577">
              <w:rPr>
                <w:rFonts w:ascii="Lato" w:hAnsi="Lato"/>
                <w:color w:val="auto"/>
              </w:rPr>
              <w:t>Q</w:t>
            </w:r>
            <w:r>
              <w:rPr>
                <w:rFonts w:ascii="Lato" w:hAnsi="Lato"/>
                <w:color w:val="auto"/>
              </w:rPr>
              <w:t>6</w:t>
            </w:r>
          </w:p>
        </w:tc>
        <w:tc>
          <w:tcPr>
            <w:tcW w:w="2519" w:type="pct"/>
            <w:vAlign w:val="center"/>
          </w:tcPr>
          <w:p w14:paraId="38F1AEF5" w14:textId="2CC4500C" w:rsidR="00F923FC" w:rsidRPr="00B56577" w:rsidRDefault="00F923FC" w:rsidP="00F923F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D4132">
              <w:rPr>
                <w:rFonts w:ascii="Lato" w:hAnsi="Lato"/>
              </w:rPr>
              <w:t>Do you identify any risks or barriers in respect of the potential changes in DCC’s monitoring capabilities that might be required to set the basis on which Users are charged?</w:t>
            </w:r>
          </w:p>
        </w:tc>
        <w:tc>
          <w:tcPr>
            <w:tcW w:w="2105" w:type="pct"/>
            <w:vAlign w:val="center"/>
          </w:tcPr>
          <w:p w14:paraId="2AD1C412" w14:textId="1C478F12" w:rsidR="00F923FC" w:rsidRPr="00B56577" w:rsidRDefault="0077215E" w:rsidP="0077215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Point 38 highlights the considerations needed to not deter use of the network – which some of the methodologies would surely do, nor would they be practical to implement. There is great risk that volumetric charging could be prohibitive for many, and would in fact deter those who are currently building use cases for Smart Data. Will the potential costs outweigh the benefits that could be delivered to consumers?</w:t>
            </w:r>
          </w:p>
        </w:tc>
      </w:tr>
    </w:tbl>
    <w:p w14:paraId="6A71EEA8" w14:textId="77777777" w:rsidR="00F923FC" w:rsidRDefault="00F923FC"/>
    <w:p w14:paraId="614B2ED1" w14:textId="0803A3C8" w:rsidR="00F923FC" w:rsidRPr="00EB5957" w:rsidRDefault="00EB5957" w:rsidP="00EB5957">
      <w:pPr>
        <w:pStyle w:val="Heading2"/>
        <w:spacing w:before="220" w:after="220"/>
        <w:ind w:left="709" w:hanging="709"/>
        <w:rPr>
          <w:rFonts w:ascii="Lato" w:eastAsiaTheme="minorHAnsi" w:hAnsi="Lato" w:cstheme="minorBidi"/>
          <w:bCs w:val="0"/>
          <w:iCs w:val="0"/>
          <w:color w:val="CA005D"/>
          <w:szCs w:val="22"/>
        </w:rPr>
      </w:pPr>
      <w:r w:rsidRPr="00EB5957">
        <w:rPr>
          <w:rFonts w:ascii="Lato" w:eastAsiaTheme="minorHAnsi" w:hAnsi="Lato" w:cstheme="minorBidi"/>
          <w:bCs w:val="0"/>
          <w:iCs w:val="0"/>
          <w:color w:val="CA005D"/>
          <w:szCs w:val="22"/>
        </w:rPr>
        <w:t>Questions on data capture requirements on future demand</w:t>
      </w:r>
    </w:p>
    <w:tbl>
      <w:tblPr>
        <w:tblStyle w:val="TableTemplate1"/>
        <w:tblW w:w="5000" w:type="pct"/>
        <w:tblLook w:val="04A0" w:firstRow="1" w:lastRow="0" w:firstColumn="1" w:lastColumn="0" w:noHBand="0" w:noVBand="1"/>
      </w:tblPr>
      <w:tblGrid>
        <w:gridCol w:w="1048"/>
        <w:gridCol w:w="7022"/>
        <w:gridCol w:w="5868"/>
      </w:tblGrid>
      <w:tr w:rsidR="00EB5957" w:rsidRPr="00B56577" w14:paraId="7ADA4082" w14:textId="77777777" w:rsidTr="00714864">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76" w:type="pct"/>
            <w:vAlign w:val="top"/>
          </w:tcPr>
          <w:p w14:paraId="65D70091" w14:textId="2D2D4CE2" w:rsidR="00EB5957" w:rsidRPr="00B56577" w:rsidRDefault="00EB5957" w:rsidP="00EB5957">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2519" w:type="pct"/>
            <w:vAlign w:val="top"/>
          </w:tcPr>
          <w:p w14:paraId="043DABD2" w14:textId="04B2FC40" w:rsidR="00EB5957" w:rsidRPr="00B56577" w:rsidRDefault="00EB5957" w:rsidP="00EB5957">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2105" w:type="pct"/>
            <w:vAlign w:val="top"/>
          </w:tcPr>
          <w:p w14:paraId="4CF55567" w14:textId="17590BB2" w:rsidR="00EB5957" w:rsidRPr="00B56577" w:rsidRDefault="00EB5957" w:rsidP="00EB5957">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EB5957" w:rsidRPr="00B56577" w14:paraId="19CD45BB" w14:textId="77777777" w:rsidTr="00714864">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1B1ED935" w14:textId="3A04A239" w:rsidR="00EB5957" w:rsidRPr="00B56577" w:rsidRDefault="00EB5957" w:rsidP="00EB5957">
            <w:pPr>
              <w:pStyle w:val="TableText-Left"/>
              <w:spacing w:line="276" w:lineRule="auto"/>
              <w:jc w:val="center"/>
              <w:rPr>
                <w:rFonts w:ascii="Lato" w:hAnsi="Lato"/>
              </w:rPr>
            </w:pPr>
            <w:r w:rsidRPr="00B56577">
              <w:rPr>
                <w:rFonts w:ascii="Lato" w:hAnsi="Lato"/>
                <w:color w:val="auto"/>
              </w:rPr>
              <w:t>Q</w:t>
            </w:r>
            <w:r>
              <w:rPr>
                <w:rFonts w:ascii="Lato" w:hAnsi="Lato"/>
                <w:color w:val="auto"/>
              </w:rPr>
              <w:t>7</w:t>
            </w:r>
          </w:p>
        </w:tc>
        <w:tc>
          <w:tcPr>
            <w:tcW w:w="2519" w:type="pct"/>
            <w:vAlign w:val="center"/>
          </w:tcPr>
          <w:p w14:paraId="097F9262" w14:textId="5ED0358E" w:rsidR="00EB5957" w:rsidRPr="00B34FD4" w:rsidRDefault="00EB5957"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34FD4">
              <w:rPr>
                <w:rFonts w:ascii="Lato" w:hAnsi="Lato"/>
              </w:rPr>
              <w:t>Do you have views on the process through which DCC should collect information on future demand across DCC Users?</w:t>
            </w:r>
          </w:p>
        </w:tc>
        <w:tc>
          <w:tcPr>
            <w:tcW w:w="2105" w:type="pct"/>
            <w:vAlign w:val="center"/>
          </w:tcPr>
          <w:p w14:paraId="7E1F820E" w14:textId="331BE5E1" w:rsidR="00EB5957" w:rsidRPr="00B56577" w:rsidRDefault="00F470B3" w:rsidP="0076378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The smart meter roll out has not completed, and is around the 60% mark, as such there can only be assumptions made for volumetric which can lead to instability in billing. The return of over-recovered funds could also be at risk due to this unknown element as there may well be fluctuations which have not been allowed for in forecasting. The current methodology based on a per meter basis provides the DCC a predictable measure for revenue recovery</w:t>
            </w:r>
            <w:r w:rsidR="00763786">
              <w:rPr>
                <w:rFonts w:ascii="Lato" w:hAnsi="Lato"/>
              </w:rPr>
              <w:t xml:space="preserve"> and Users a reliable method to forecast costs; both annual and futureproofing</w:t>
            </w:r>
            <w:r>
              <w:rPr>
                <w:rFonts w:ascii="Lato" w:hAnsi="Lato"/>
              </w:rPr>
              <w:t xml:space="preserve">. </w:t>
            </w:r>
          </w:p>
        </w:tc>
      </w:tr>
      <w:tr w:rsidR="00EB5957" w:rsidRPr="00B56577" w14:paraId="56F25F43" w14:textId="77777777" w:rsidTr="00714864">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6B1E9726" w14:textId="1EFF167C" w:rsidR="00EB5957" w:rsidRPr="00B56577" w:rsidRDefault="00EB5957" w:rsidP="00EB5957">
            <w:pPr>
              <w:pStyle w:val="TableText-Left"/>
              <w:spacing w:line="276" w:lineRule="auto"/>
              <w:jc w:val="center"/>
              <w:rPr>
                <w:rFonts w:ascii="Lato" w:hAnsi="Lato"/>
                <w:color w:val="auto"/>
              </w:rPr>
            </w:pPr>
            <w:r w:rsidRPr="00B56577">
              <w:rPr>
                <w:rFonts w:ascii="Lato" w:hAnsi="Lato"/>
                <w:color w:val="auto"/>
              </w:rPr>
              <w:t>Q</w:t>
            </w:r>
            <w:r>
              <w:rPr>
                <w:rFonts w:ascii="Lato" w:hAnsi="Lato"/>
                <w:color w:val="auto"/>
              </w:rPr>
              <w:t>8</w:t>
            </w:r>
          </w:p>
        </w:tc>
        <w:tc>
          <w:tcPr>
            <w:tcW w:w="2519" w:type="pct"/>
            <w:vAlign w:val="center"/>
          </w:tcPr>
          <w:p w14:paraId="0F997735" w14:textId="10038644" w:rsidR="00EB5957" w:rsidRPr="00B56577" w:rsidRDefault="00EB5957" w:rsidP="00EB595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97F39">
              <w:rPr>
                <w:rFonts w:ascii="Lato" w:hAnsi="Lato"/>
              </w:rPr>
              <w:t>Are there any barriers to providing DCC with such information?</w:t>
            </w:r>
          </w:p>
        </w:tc>
        <w:tc>
          <w:tcPr>
            <w:tcW w:w="2105" w:type="pct"/>
            <w:vAlign w:val="center"/>
          </w:tcPr>
          <w:p w14:paraId="0D7EDD09" w14:textId="4F87D5A7" w:rsidR="00EB5957" w:rsidRPr="00B56577" w:rsidRDefault="008C2311" w:rsidP="008C231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cannot foresee barriers in providing this information, however, it should be noted that as Network Operators build use cases for smart data, this provision may well be inhibitive to trials undertaken.</w:t>
            </w:r>
          </w:p>
        </w:tc>
      </w:tr>
    </w:tbl>
    <w:p w14:paraId="6583DB57" w14:textId="77777777" w:rsidR="0083049B" w:rsidRDefault="0083049B"/>
    <w:p w14:paraId="1B622E21" w14:textId="5C9991E7" w:rsidR="0083049B" w:rsidRPr="00680396" w:rsidRDefault="000D532A" w:rsidP="00680396">
      <w:pPr>
        <w:pStyle w:val="Heading2"/>
        <w:spacing w:before="220" w:after="220"/>
        <w:ind w:left="709" w:hanging="709"/>
        <w:rPr>
          <w:rFonts w:ascii="Lato" w:eastAsiaTheme="minorHAnsi" w:hAnsi="Lato" w:cstheme="minorBidi"/>
          <w:bCs w:val="0"/>
          <w:iCs w:val="0"/>
          <w:color w:val="CA005D"/>
          <w:szCs w:val="22"/>
        </w:rPr>
      </w:pPr>
      <w:r w:rsidRPr="000D532A">
        <w:rPr>
          <w:rFonts w:ascii="Lato" w:eastAsiaTheme="minorHAnsi" w:hAnsi="Lato" w:cstheme="minorBidi"/>
          <w:bCs w:val="0"/>
          <w:iCs w:val="0"/>
          <w:color w:val="CA005D"/>
          <w:szCs w:val="22"/>
        </w:rPr>
        <w:t>Questions on setting a materiality threshold</w:t>
      </w:r>
    </w:p>
    <w:tbl>
      <w:tblPr>
        <w:tblStyle w:val="TableTemplate1"/>
        <w:tblW w:w="5000" w:type="pct"/>
        <w:tblLook w:val="04A0" w:firstRow="1" w:lastRow="0" w:firstColumn="1" w:lastColumn="0" w:noHBand="0" w:noVBand="1"/>
      </w:tblPr>
      <w:tblGrid>
        <w:gridCol w:w="1048"/>
        <w:gridCol w:w="7022"/>
        <w:gridCol w:w="5868"/>
      </w:tblGrid>
      <w:tr w:rsidR="0083049B" w:rsidRPr="00B56577" w14:paraId="33DCC183" w14:textId="77777777" w:rsidTr="00667F22">
        <w:trPr>
          <w:cnfStyle w:val="100000000000" w:firstRow="1" w:lastRow="0" w:firstColumn="0" w:lastColumn="0" w:oddVBand="0" w:evenVBand="0" w:oddHBand="0" w:evenHBand="0" w:firstRowFirstColumn="0" w:firstRowLastColumn="0" w:lastRowFirstColumn="0" w:lastRowLastColumn="0"/>
          <w:trHeight w:val="151"/>
        </w:trPr>
        <w:tc>
          <w:tcPr>
            <w:cnfStyle w:val="001000000000" w:firstRow="0" w:lastRow="0" w:firstColumn="1" w:lastColumn="0" w:oddVBand="0" w:evenVBand="0" w:oddHBand="0" w:evenHBand="0" w:firstRowFirstColumn="0" w:firstRowLastColumn="0" w:lastRowFirstColumn="0" w:lastRowLastColumn="0"/>
            <w:tcW w:w="376" w:type="pct"/>
            <w:vAlign w:val="top"/>
          </w:tcPr>
          <w:p w14:paraId="02D149EB" w14:textId="46CDE0CC" w:rsidR="0083049B" w:rsidRPr="00B56577" w:rsidRDefault="0083049B" w:rsidP="0083049B">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2519" w:type="pct"/>
            <w:vAlign w:val="top"/>
          </w:tcPr>
          <w:p w14:paraId="320D75D8" w14:textId="6335C7E7" w:rsidR="0083049B" w:rsidRPr="00B56577" w:rsidRDefault="0083049B" w:rsidP="0083049B">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2105" w:type="pct"/>
            <w:vAlign w:val="top"/>
          </w:tcPr>
          <w:p w14:paraId="496E9F29" w14:textId="2142C1EF" w:rsidR="0083049B" w:rsidRPr="00B56577" w:rsidRDefault="0083049B" w:rsidP="0083049B">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83049B" w:rsidRPr="00B56577" w14:paraId="2BBE3F3D" w14:textId="77777777" w:rsidTr="00667F22">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31E16EC7" w14:textId="4C6DD07F" w:rsidR="0083049B" w:rsidRPr="00B56577" w:rsidRDefault="0083049B" w:rsidP="0083049B">
            <w:pPr>
              <w:pStyle w:val="TableText-Left"/>
              <w:spacing w:line="276" w:lineRule="auto"/>
              <w:jc w:val="center"/>
              <w:rPr>
                <w:rFonts w:ascii="Lato" w:hAnsi="Lato"/>
              </w:rPr>
            </w:pPr>
            <w:r w:rsidRPr="00B56577">
              <w:rPr>
                <w:rFonts w:ascii="Lato" w:hAnsi="Lato"/>
                <w:color w:val="auto"/>
              </w:rPr>
              <w:t>Q</w:t>
            </w:r>
            <w:r>
              <w:rPr>
                <w:rFonts w:ascii="Lato" w:hAnsi="Lato"/>
                <w:color w:val="auto"/>
              </w:rPr>
              <w:t>9</w:t>
            </w:r>
          </w:p>
        </w:tc>
        <w:tc>
          <w:tcPr>
            <w:tcW w:w="2519" w:type="pct"/>
            <w:vAlign w:val="center"/>
          </w:tcPr>
          <w:p w14:paraId="306398C4" w14:textId="2BE47666" w:rsidR="0083049B" w:rsidRPr="0006438D"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06438D">
              <w:rPr>
                <w:rFonts w:ascii="Lato" w:hAnsi="Lato"/>
              </w:rPr>
              <w:t>Do you agree that a materiality threshold would need to be set to continue to enable innovation on the DCC Network, particularly under the DCC Other User role?</w:t>
            </w:r>
          </w:p>
        </w:tc>
        <w:tc>
          <w:tcPr>
            <w:tcW w:w="2105" w:type="pct"/>
            <w:vAlign w:val="center"/>
          </w:tcPr>
          <w:p w14:paraId="77E87430" w14:textId="3343A20F" w:rsidR="0083049B" w:rsidRPr="00B56577" w:rsidRDefault="00667F22" w:rsidP="00667F2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believe that innovation should be enabled for ALL parties, not just identified DCC Other Users. </w:t>
            </w:r>
            <w:r w:rsidR="00471E34">
              <w:rPr>
                <w:rFonts w:ascii="Lato" w:hAnsi="Lato"/>
              </w:rPr>
              <w:t xml:space="preserve">It should be added that in </w:t>
            </w:r>
            <w:r>
              <w:rPr>
                <w:rFonts w:ascii="Lato" w:hAnsi="Lato"/>
              </w:rPr>
              <w:t>2.2.7 – Point 46 – the usage of the smart network by Network operators is also in line with serving public interests (i.e Fault Restoration, etc)</w:t>
            </w:r>
            <w:r w:rsidR="00471E34">
              <w:rPr>
                <w:rFonts w:ascii="Lato" w:hAnsi="Lato"/>
              </w:rPr>
              <w:t>, not just the emerging use cases.</w:t>
            </w:r>
          </w:p>
        </w:tc>
      </w:tr>
      <w:tr w:rsidR="0083049B" w:rsidRPr="00B56577" w14:paraId="5F13B40C" w14:textId="77777777" w:rsidTr="00667F22">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5718D8D1" w14:textId="0E891A1D" w:rsidR="0083049B" w:rsidRPr="00B56577" w:rsidRDefault="0083049B" w:rsidP="0083049B">
            <w:pPr>
              <w:pStyle w:val="TableText-Left"/>
              <w:spacing w:line="276" w:lineRule="auto"/>
              <w:jc w:val="center"/>
              <w:rPr>
                <w:rFonts w:ascii="Lato" w:hAnsi="Lato"/>
                <w:color w:val="auto"/>
              </w:rPr>
            </w:pPr>
            <w:r w:rsidRPr="00B56577">
              <w:rPr>
                <w:rFonts w:ascii="Lato" w:hAnsi="Lato"/>
                <w:color w:val="auto"/>
              </w:rPr>
              <w:t>Q</w:t>
            </w:r>
            <w:r>
              <w:rPr>
                <w:rFonts w:ascii="Lato" w:hAnsi="Lato"/>
                <w:color w:val="auto"/>
              </w:rPr>
              <w:t>10</w:t>
            </w:r>
          </w:p>
        </w:tc>
        <w:tc>
          <w:tcPr>
            <w:tcW w:w="2519" w:type="pct"/>
            <w:vAlign w:val="center"/>
          </w:tcPr>
          <w:p w14:paraId="6F42B153" w14:textId="77BAA860"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6A1494">
              <w:rPr>
                <w:rFonts w:ascii="Lato" w:hAnsi="Lato"/>
              </w:rPr>
              <w:t>In your view, how low should a threshold based on usage be set to avoid market distortions?</w:t>
            </w:r>
          </w:p>
        </w:tc>
        <w:tc>
          <w:tcPr>
            <w:tcW w:w="2105" w:type="pct"/>
            <w:vAlign w:val="center"/>
          </w:tcPr>
          <w:p w14:paraId="6C99B077" w14:textId="5417E17A" w:rsidR="0083049B" w:rsidRPr="00B56577" w:rsidRDefault="00667F22"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would need to see further analysis of the network usage of these Users to able to comment on charging</w:t>
            </w:r>
          </w:p>
        </w:tc>
      </w:tr>
      <w:tr w:rsidR="0083049B" w:rsidRPr="00B56577" w14:paraId="09772BE6" w14:textId="77777777" w:rsidTr="00667F22">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694D39CE" w14:textId="7FD56B25" w:rsidR="0083049B" w:rsidRPr="00B56577" w:rsidRDefault="0083049B" w:rsidP="0083049B">
            <w:pPr>
              <w:pStyle w:val="TableText-Left"/>
              <w:spacing w:line="276" w:lineRule="auto"/>
              <w:jc w:val="center"/>
              <w:rPr>
                <w:rFonts w:ascii="Lato" w:hAnsi="Lato"/>
                <w:color w:val="auto"/>
              </w:rPr>
            </w:pPr>
            <w:r w:rsidRPr="00B56577">
              <w:rPr>
                <w:rFonts w:ascii="Lato" w:hAnsi="Lato"/>
                <w:color w:val="auto"/>
              </w:rPr>
              <w:t>Q1</w:t>
            </w:r>
            <w:r>
              <w:rPr>
                <w:rFonts w:ascii="Lato" w:hAnsi="Lato"/>
                <w:color w:val="auto"/>
              </w:rPr>
              <w:t>1</w:t>
            </w:r>
          </w:p>
        </w:tc>
        <w:tc>
          <w:tcPr>
            <w:tcW w:w="2519" w:type="pct"/>
            <w:vAlign w:val="center"/>
          </w:tcPr>
          <w:p w14:paraId="52AF91DD" w14:textId="5614125B" w:rsidR="0083049B" w:rsidRPr="00B56577" w:rsidRDefault="0083049B"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04F7A">
              <w:rPr>
                <w:rFonts w:ascii="Lato" w:hAnsi="Lato"/>
              </w:rPr>
              <w:t>In your view, which type of organisations should be exempt from paying charges for their intended use of the network?</w:t>
            </w:r>
          </w:p>
        </w:tc>
        <w:tc>
          <w:tcPr>
            <w:tcW w:w="2105" w:type="pct"/>
            <w:vAlign w:val="center"/>
          </w:tcPr>
          <w:p w14:paraId="347BB90E" w14:textId="09D37CE4" w:rsidR="0083049B" w:rsidRPr="00B56577" w:rsidRDefault="00667F22" w:rsidP="0083049B">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would need to see further analysis of the network usage of these Users to able to comment on charging</w:t>
            </w:r>
          </w:p>
        </w:tc>
      </w:tr>
    </w:tbl>
    <w:p w14:paraId="0A7F3625" w14:textId="77777777" w:rsidR="000D532A" w:rsidRDefault="000D532A"/>
    <w:p w14:paraId="185999D5" w14:textId="5402673A" w:rsidR="000D532A" w:rsidRPr="00A24251" w:rsidRDefault="00A24251" w:rsidP="00A24251">
      <w:pPr>
        <w:pStyle w:val="Heading2"/>
        <w:spacing w:before="220" w:after="220"/>
        <w:ind w:left="709" w:hanging="709"/>
        <w:rPr>
          <w:rFonts w:ascii="Lato" w:eastAsiaTheme="minorHAnsi" w:hAnsi="Lato" w:cstheme="minorBidi"/>
          <w:bCs w:val="0"/>
          <w:iCs w:val="0"/>
          <w:color w:val="CA005D"/>
          <w:szCs w:val="22"/>
        </w:rPr>
      </w:pPr>
      <w:r w:rsidRPr="00A24251">
        <w:rPr>
          <w:rFonts w:ascii="Lato" w:eastAsiaTheme="minorHAnsi" w:hAnsi="Lato" w:cstheme="minorBidi"/>
          <w:bCs w:val="0"/>
          <w:iCs w:val="0"/>
          <w:color w:val="CA005D"/>
          <w:szCs w:val="22"/>
        </w:rPr>
        <w:t>Questions on ‘Read and Store’ capabilities</w:t>
      </w:r>
    </w:p>
    <w:tbl>
      <w:tblPr>
        <w:tblStyle w:val="TableTemplate1"/>
        <w:tblW w:w="5000" w:type="pct"/>
        <w:tblLook w:val="04A0" w:firstRow="1" w:lastRow="0" w:firstColumn="1" w:lastColumn="0" w:noHBand="0" w:noVBand="1"/>
      </w:tblPr>
      <w:tblGrid>
        <w:gridCol w:w="1048"/>
        <w:gridCol w:w="7022"/>
        <w:gridCol w:w="5868"/>
      </w:tblGrid>
      <w:tr w:rsidR="00B72AA1" w:rsidRPr="00B56577" w14:paraId="35ABDF19" w14:textId="77777777" w:rsidTr="00BA7493">
        <w:trPr>
          <w:cnfStyle w:val="100000000000" w:firstRow="1" w:lastRow="0" w:firstColumn="0" w:lastColumn="0" w:oddVBand="0" w:evenVBand="0" w:oddHBand="0" w:evenHBand="0" w:firstRowFirstColumn="0" w:firstRowLastColumn="0" w:lastRowFirstColumn="0" w:lastRowLastColumn="0"/>
          <w:trHeight w:val="151"/>
        </w:trPr>
        <w:tc>
          <w:tcPr>
            <w:cnfStyle w:val="001000000000" w:firstRow="0" w:lastRow="0" w:firstColumn="1" w:lastColumn="0" w:oddVBand="0" w:evenVBand="0" w:oddHBand="0" w:evenHBand="0" w:firstRowFirstColumn="0" w:firstRowLastColumn="0" w:lastRowFirstColumn="0" w:lastRowLastColumn="0"/>
            <w:tcW w:w="376" w:type="pct"/>
            <w:vAlign w:val="top"/>
          </w:tcPr>
          <w:p w14:paraId="3BD4AEBA" w14:textId="76F29A4E" w:rsidR="00B72AA1" w:rsidRPr="00B56577" w:rsidRDefault="00B72AA1" w:rsidP="00B72AA1">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2519" w:type="pct"/>
            <w:vAlign w:val="top"/>
          </w:tcPr>
          <w:p w14:paraId="693FEF8F" w14:textId="00EDF656" w:rsidR="00B72AA1" w:rsidRPr="00B56577" w:rsidRDefault="00B72AA1" w:rsidP="00B72AA1">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2105" w:type="pct"/>
            <w:vAlign w:val="top"/>
          </w:tcPr>
          <w:p w14:paraId="54D6208F" w14:textId="3209B594" w:rsidR="00B72AA1" w:rsidRPr="00B56577" w:rsidRDefault="00B72AA1" w:rsidP="00B72AA1">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B72AA1" w:rsidRPr="00B56577" w14:paraId="4920AC45" w14:textId="77777777" w:rsidTr="00BA7493">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781B5E72" w14:textId="17EFCE9B" w:rsidR="00B72AA1" w:rsidRPr="00B56577" w:rsidRDefault="00B72AA1" w:rsidP="00B72AA1">
            <w:pPr>
              <w:pStyle w:val="TableText-Left"/>
              <w:spacing w:line="276" w:lineRule="auto"/>
              <w:jc w:val="center"/>
              <w:rPr>
                <w:rFonts w:ascii="Lato" w:hAnsi="Lato"/>
              </w:rPr>
            </w:pPr>
            <w:r w:rsidRPr="00B56577">
              <w:rPr>
                <w:rFonts w:ascii="Lato" w:hAnsi="Lato"/>
                <w:color w:val="auto"/>
              </w:rPr>
              <w:t>Q1</w:t>
            </w:r>
            <w:r>
              <w:rPr>
                <w:rFonts w:ascii="Lato" w:hAnsi="Lato"/>
                <w:color w:val="auto"/>
              </w:rPr>
              <w:t>2</w:t>
            </w:r>
          </w:p>
        </w:tc>
        <w:tc>
          <w:tcPr>
            <w:tcW w:w="2519" w:type="pct"/>
            <w:vAlign w:val="center"/>
          </w:tcPr>
          <w:p w14:paraId="4D033CAA" w14:textId="65D5DC22" w:rsidR="00B72AA1" w:rsidRPr="00474F0E" w:rsidRDefault="00B72AA1" w:rsidP="00B72AA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74F0E">
              <w:rPr>
                <w:rFonts w:ascii="Lato" w:hAnsi="Lato"/>
              </w:rPr>
              <w:t>Do you have any insights on how smart meter data repositories could impact your use of DCC’s network?</w:t>
            </w:r>
          </w:p>
        </w:tc>
        <w:tc>
          <w:tcPr>
            <w:tcW w:w="2105" w:type="pct"/>
            <w:vAlign w:val="center"/>
          </w:tcPr>
          <w:p w14:paraId="103B2C56" w14:textId="7A2E2BBB" w:rsidR="00B72AA1" w:rsidRPr="00B56577" w:rsidRDefault="00BA7493" w:rsidP="00B72AA1">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A Smart Meter Data Repository may well see a reduction in the use of the DCC Network, as Service Requests may not need to be sent if this data could be accessed in one place. The development of this in the SMEDR Programme will be one to follow to ensure that it can in fact capture real time data and store it for maximised use to ensure benefits can be realised. Without further development though, it is hard to predict what impact this could have upon our usage of the DCC Network. </w:t>
            </w:r>
            <w:r w:rsidR="00563761">
              <w:rPr>
                <w:rFonts w:ascii="Lato" w:hAnsi="Lato"/>
              </w:rPr>
              <w:t xml:space="preserve">We are unsure as to how developed this Programme is, or how far away we are from this potentially being available. </w:t>
            </w:r>
          </w:p>
        </w:tc>
      </w:tr>
    </w:tbl>
    <w:p w14:paraId="69ADB51B" w14:textId="77777777" w:rsidR="00A90540" w:rsidRDefault="00A90540"/>
    <w:p w14:paraId="75770157" w14:textId="63FA2CA6" w:rsidR="00A90540" w:rsidRPr="00A90540" w:rsidRDefault="00A90540" w:rsidP="00A90540">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Questions on charging option 1</w:t>
      </w:r>
    </w:p>
    <w:tbl>
      <w:tblPr>
        <w:tblStyle w:val="TableTemplate1"/>
        <w:tblW w:w="5000" w:type="pct"/>
        <w:tblLook w:val="04A0" w:firstRow="1" w:lastRow="0" w:firstColumn="1" w:lastColumn="0" w:noHBand="0" w:noVBand="1"/>
      </w:tblPr>
      <w:tblGrid>
        <w:gridCol w:w="1048"/>
        <w:gridCol w:w="7022"/>
        <w:gridCol w:w="5868"/>
      </w:tblGrid>
      <w:tr w:rsidR="00A90540" w:rsidRPr="00B56577" w14:paraId="07A4EDCA" w14:textId="77777777" w:rsidTr="00714DC1">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76" w:type="pct"/>
            <w:vAlign w:val="top"/>
          </w:tcPr>
          <w:p w14:paraId="33999FFA" w14:textId="14231DAE" w:rsidR="00A90540" w:rsidRPr="00B56577" w:rsidRDefault="00A90540" w:rsidP="00A90540">
            <w:pPr>
              <w:pStyle w:val="TableText-Left"/>
              <w:spacing w:line="276" w:lineRule="auto"/>
              <w:jc w:val="center"/>
              <w:rPr>
                <w:rFonts w:ascii="Lato" w:hAnsi="Lato"/>
              </w:rPr>
            </w:pPr>
            <w:r w:rsidRPr="00B56577">
              <w:rPr>
                <w:rFonts w:ascii="Lato" w:hAnsi="Lato"/>
              </w:rPr>
              <w:t>Numb</w:t>
            </w:r>
            <w:r>
              <w:rPr>
                <w:rFonts w:ascii="Lato" w:hAnsi="Lato"/>
              </w:rPr>
              <w:t>er</w:t>
            </w:r>
          </w:p>
        </w:tc>
        <w:tc>
          <w:tcPr>
            <w:tcW w:w="2519" w:type="pct"/>
            <w:vAlign w:val="top"/>
          </w:tcPr>
          <w:p w14:paraId="279B1383" w14:textId="223660FF" w:rsidR="00A90540" w:rsidRPr="0042566F" w:rsidRDefault="00A90540" w:rsidP="00A90540">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2105" w:type="pct"/>
            <w:vAlign w:val="top"/>
          </w:tcPr>
          <w:p w14:paraId="03484C54" w14:textId="1B33E6BD" w:rsidR="00A90540" w:rsidRPr="00B56577" w:rsidRDefault="00A90540" w:rsidP="00A90540">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A90540" w:rsidRPr="00B56577" w14:paraId="003E35D2" w14:textId="77777777" w:rsidTr="00714DC1">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40D909A3" w14:textId="33DDDCFF" w:rsidR="00A90540" w:rsidRPr="00B56577" w:rsidRDefault="00A90540" w:rsidP="00A90540">
            <w:pPr>
              <w:pStyle w:val="TableText-Left"/>
              <w:spacing w:line="276" w:lineRule="auto"/>
              <w:jc w:val="center"/>
              <w:rPr>
                <w:rFonts w:ascii="Lato" w:hAnsi="Lato"/>
                <w:color w:val="auto"/>
              </w:rPr>
            </w:pPr>
            <w:r w:rsidRPr="00B56577">
              <w:rPr>
                <w:rFonts w:ascii="Lato" w:hAnsi="Lato"/>
                <w:color w:val="auto"/>
              </w:rPr>
              <w:t>Q1</w:t>
            </w:r>
            <w:r>
              <w:rPr>
                <w:rFonts w:ascii="Lato" w:hAnsi="Lato"/>
                <w:color w:val="auto"/>
              </w:rPr>
              <w:t>3</w:t>
            </w:r>
          </w:p>
        </w:tc>
        <w:tc>
          <w:tcPr>
            <w:tcW w:w="2519" w:type="pct"/>
            <w:vAlign w:val="center"/>
          </w:tcPr>
          <w:p w14:paraId="6153853C" w14:textId="3025749F" w:rsidR="00A90540" w:rsidRPr="00B56577" w:rsidRDefault="00A90540"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566F">
              <w:rPr>
                <w:rFonts w:ascii="Lato" w:hAnsi="Lato"/>
              </w:rPr>
              <w:t xml:space="preserve">Do you agree with our initial assessment </w:t>
            </w:r>
            <w:r w:rsidRPr="00FB6C2F">
              <w:rPr>
                <w:rFonts w:ascii="Lato" w:hAnsi="Lato"/>
              </w:rPr>
              <w:t xml:space="preserve">of the impact of </w:t>
            </w:r>
            <w:r w:rsidRPr="0042566F">
              <w:rPr>
                <w:rFonts w:ascii="Lato" w:hAnsi="Lato"/>
              </w:rPr>
              <w:t>charging option</w:t>
            </w:r>
            <w:r>
              <w:rPr>
                <w:rFonts w:ascii="Lato" w:hAnsi="Lato"/>
              </w:rPr>
              <w:t xml:space="preserve"> 1</w:t>
            </w:r>
            <w:r w:rsidRPr="0042566F">
              <w:rPr>
                <w:rFonts w:ascii="Lato" w:hAnsi="Lato"/>
              </w:rPr>
              <w:t>?</w:t>
            </w:r>
          </w:p>
        </w:tc>
        <w:tc>
          <w:tcPr>
            <w:tcW w:w="2105" w:type="pct"/>
            <w:vAlign w:val="center"/>
          </w:tcPr>
          <w:p w14:paraId="55C5005E" w14:textId="77777777" w:rsidR="001A7386" w:rsidRDefault="00175931"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do agree that these arrangements have proven to be fit for purpose, but disagree with the combined Network Operator and Other User assumption built into point 68. As already highlighted this conflates the issues and incorrectly skews this. The diagram in Figure 3 displays the % of Network Use – but it would also be appropriate to break this down further for the consultation – granular information about size/type/frequency would be welcomed.</w:t>
            </w:r>
            <w:r w:rsidR="001A7386">
              <w:rPr>
                <w:rFonts w:ascii="Lato" w:hAnsi="Lato"/>
              </w:rPr>
              <w:t xml:space="preserve"> We would also like to see Supplier increase also indicated.</w:t>
            </w:r>
          </w:p>
          <w:p w14:paraId="2174F515" w14:textId="53E5A367" w:rsidR="00A90540" w:rsidRDefault="00C70EAD"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Encouraging innovation is an important duty to retain. </w:t>
            </w:r>
          </w:p>
          <w:p w14:paraId="5C2B3286" w14:textId="0187CD7B" w:rsidR="0077364B" w:rsidRPr="00B56577" w:rsidRDefault="0077364B"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Whilst point 71 points to contracting additional capacity, perhaps there could be measures introduced to allow the DCC to take more accurate forecasting from user, and there is nothing to prevent discussion about shifting traffic within this charging methodology either.</w:t>
            </w:r>
          </w:p>
        </w:tc>
      </w:tr>
      <w:tr w:rsidR="00A90540" w:rsidRPr="00B56577" w14:paraId="1A3BA580" w14:textId="77777777" w:rsidTr="00714DC1">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1766E8F9" w14:textId="3653EC67" w:rsidR="00A90540" w:rsidRPr="00B56577" w:rsidRDefault="00A90540" w:rsidP="00A90540">
            <w:pPr>
              <w:pStyle w:val="TableText-Left"/>
              <w:spacing w:line="276" w:lineRule="auto"/>
              <w:jc w:val="center"/>
              <w:rPr>
                <w:rFonts w:ascii="Lato" w:hAnsi="Lato"/>
                <w:color w:val="auto"/>
              </w:rPr>
            </w:pPr>
            <w:r w:rsidRPr="00B56577">
              <w:rPr>
                <w:rFonts w:ascii="Lato" w:hAnsi="Lato"/>
                <w:color w:val="auto"/>
              </w:rPr>
              <w:t>Q1</w:t>
            </w:r>
            <w:r>
              <w:rPr>
                <w:rFonts w:ascii="Lato" w:hAnsi="Lato"/>
                <w:color w:val="auto"/>
              </w:rPr>
              <w:t>4</w:t>
            </w:r>
          </w:p>
        </w:tc>
        <w:tc>
          <w:tcPr>
            <w:tcW w:w="2519" w:type="pct"/>
            <w:vAlign w:val="center"/>
          </w:tcPr>
          <w:p w14:paraId="62044F61" w14:textId="5871403C" w:rsidR="00A90540" w:rsidRPr="00B56577" w:rsidRDefault="00A90540" w:rsidP="00A90540">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800E58">
              <w:rPr>
                <w:rFonts w:ascii="Lato" w:hAnsi="Lato"/>
              </w:rPr>
              <w:t>Do you think that the current charging arrangements should be retained or replaced, and why?</w:t>
            </w:r>
          </w:p>
        </w:tc>
        <w:tc>
          <w:tcPr>
            <w:tcW w:w="2105" w:type="pct"/>
            <w:vAlign w:val="center"/>
          </w:tcPr>
          <w:p w14:paraId="5A661B8C" w14:textId="51DA8840" w:rsidR="00A90540" w:rsidRPr="00B56577" w:rsidRDefault="00603A71" w:rsidP="00631ED2">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believe that there is argument to </w:t>
            </w:r>
            <w:r w:rsidR="00631ED2">
              <w:rPr>
                <w:rFonts w:ascii="Lato" w:hAnsi="Lato"/>
              </w:rPr>
              <w:t>retain</w:t>
            </w:r>
            <w:r>
              <w:rPr>
                <w:rFonts w:ascii="Lato" w:hAnsi="Lato"/>
              </w:rPr>
              <w:t xml:space="preserve"> Option</w:t>
            </w:r>
            <w:r w:rsidR="00631ED2">
              <w:rPr>
                <w:rFonts w:ascii="Lato" w:hAnsi="Lato"/>
              </w:rPr>
              <w:t xml:space="preserve"> 1, </w:t>
            </w:r>
            <w:r>
              <w:rPr>
                <w:rFonts w:ascii="Lato" w:hAnsi="Lato"/>
              </w:rPr>
              <w:t xml:space="preserve">in so much that 1 was designed with </w:t>
            </w:r>
            <w:r w:rsidR="00B70262">
              <w:rPr>
                <w:rFonts w:ascii="Lato" w:hAnsi="Lato"/>
              </w:rPr>
              <w:t xml:space="preserve">current usage </w:t>
            </w:r>
            <w:r w:rsidR="00631ED2">
              <w:rPr>
                <w:rFonts w:ascii="Lato" w:hAnsi="Lato"/>
              </w:rPr>
              <w:t xml:space="preserve">by Suppliers and Network Operators </w:t>
            </w:r>
            <w:r w:rsidR="00B70262">
              <w:rPr>
                <w:rFonts w:ascii="Lato" w:hAnsi="Lato"/>
              </w:rPr>
              <w:t>in mind.</w:t>
            </w:r>
            <w:r w:rsidR="00631ED2">
              <w:rPr>
                <w:rFonts w:ascii="Lato" w:hAnsi="Lato"/>
              </w:rPr>
              <w:t xml:space="preserve"> However, re-balancing the charges as per Option 2 may be more appropriate for inclusion of the ‘Other User’.</w:t>
            </w:r>
          </w:p>
        </w:tc>
      </w:tr>
    </w:tbl>
    <w:p w14:paraId="27EE8796" w14:textId="77777777" w:rsidR="00F15596" w:rsidRDefault="00F15596"/>
    <w:p w14:paraId="71981D70" w14:textId="13384229" w:rsidR="00714724" w:rsidRPr="00714724" w:rsidRDefault="00714724" w:rsidP="00714724">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 xml:space="preserve">Questions on charging option </w:t>
      </w:r>
      <w:r>
        <w:rPr>
          <w:rFonts w:ascii="Lato" w:eastAsiaTheme="minorHAnsi" w:hAnsi="Lato" w:cstheme="minorBidi"/>
          <w:bCs w:val="0"/>
          <w:iCs w:val="0"/>
          <w:color w:val="CA005D"/>
          <w:szCs w:val="22"/>
        </w:rPr>
        <w:t>2</w:t>
      </w:r>
    </w:p>
    <w:tbl>
      <w:tblPr>
        <w:tblStyle w:val="TableTemplate1"/>
        <w:tblW w:w="5000" w:type="pct"/>
        <w:tblLook w:val="04A0" w:firstRow="1" w:lastRow="0" w:firstColumn="1" w:lastColumn="0" w:noHBand="0" w:noVBand="1"/>
      </w:tblPr>
      <w:tblGrid>
        <w:gridCol w:w="1048"/>
        <w:gridCol w:w="7022"/>
        <w:gridCol w:w="5868"/>
      </w:tblGrid>
      <w:tr w:rsidR="00F15596" w:rsidRPr="00B56577" w14:paraId="3FC27B6E" w14:textId="77777777" w:rsidTr="00F826F7">
        <w:trPr>
          <w:cnfStyle w:val="100000000000" w:firstRow="1" w:lastRow="0" w:firstColumn="0" w:lastColumn="0" w:oddVBand="0" w:evenVBand="0" w:oddHBand="0"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76" w:type="pct"/>
            <w:vAlign w:val="top"/>
          </w:tcPr>
          <w:p w14:paraId="31169307" w14:textId="596C7BB1" w:rsidR="00F15596" w:rsidRPr="00DE5A35" w:rsidRDefault="00F15596" w:rsidP="00F15596">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2519" w:type="pct"/>
            <w:vAlign w:val="top"/>
          </w:tcPr>
          <w:p w14:paraId="4A134FB4" w14:textId="6710D668" w:rsidR="00F15596" w:rsidRPr="00800E58" w:rsidRDefault="00F15596" w:rsidP="00F155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2105" w:type="pct"/>
            <w:vAlign w:val="top"/>
          </w:tcPr>
          <w:p w14:paraId="61E59643" w14:textId="0BFE3ABC" w:rsidR="00F15596" w:rsidRPr="00B56577" w:rsidRDefault="00F15596" w:rsidP="00F155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F15596" w:rsidRPr="00B56577" w14:paraId="394B496C" w14:textId="77777777" w:rsidTr="00F826F7">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616F1884" w14:textId="77252E1B" w:rsidR="00F15596" w:rsidRPr="00DE5A35" w:rsidRDefault="00F15596" w:rsidP="00F15596">
            <w:pPr>
              <w:pStyle w:val="TableText-Left"/>
              <w:spacing w:line="276" w:lineRule="auto"/>
              <w:jc w:val="center"/>
              <w:rPr>
                <w:rFonts w:ascii="Lato" w:hAnsi="Lato"/>
              </w:rPr>
            </w:pPr>
            <w:r w:rsidRPr="00DE5A35">
              <w:rPr>
                <w:rFonts w:ascii="Lato" w:hAnsi="Lato"/>
                <w:color w:val="auto"/>
              </w:rPr>
              <w:t>Q15</w:t>
            </w:r>
          </w:p>
        </w:tc>
        <w:tc>
          <w:tcPr>
            <w:tcW w:w="2519" w:type="pct"/>
            <w:vAlign w:val="center"/>
          </w:tcPr>
          <w:p w14:paraId="7E0C71C4" w14:textId="6866BABE" w:rsidR="00F15596" w:rsidRPr="00DE5A35"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 xml:space="preserve">Do you agree with our initial assessment </w:t>
            </w:r>
            <w:r w:rsidRPr="00FB6C2F">
              <w:rPr>
                <w:rFonts w:ascii="Lato" w:hAnsi="Lato"/>
              </w:rPr>
              <w:t xml:space="preserve">of the impact of </w:t>
            </w:r>
            <w:r w:rsidRPr="00DE5A35">
              <w:rPr>
                <w:rFonts w:ascii="Lato" w:hAnsi="Lato"/>
              </w:rPr>
              <w:t>charging option</w:t>
            </w:r>
            <w:r>
              <w:rPr>
                <w:rFonts w:ascii="Lato" w:hAnsi="Lato"/>
              </w:rPr>
              <w:t xml:space="preserve"> 2</w:t>
            </w:r>
            <w:r w:rsidRPr="00DE5A35">
              <w:rPr>
                <w:rFonts w:ascii="Lato" w:hAnsi="Lato"/>
              </w:rPr>
              <w:t>?</w:t>
            </w:r>
          </w:p>
        </w:tc>
        <w:tc>
          <w:tcPr>
            <w:tcW w:w="2105" w:type="pct"/>
            <w:vAlign w:val="center"/>
          </w:tcPr>
          <w:p w14:paraId="3E756909" w14:textId="3CD27C8C" w:rsidR="00F15596" w:rsidRPr="00B56577" w:rsidRDefault="00D86F71" w:rsidP="00052789">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agree that this Option should be relatively straightforward to implement, and therefore would not cause instability for DCC Users/DCC. This Option is more favourable in this regard, as the </w:t>
            </w:r>
            <w:r w:rsidR="00052789">
              <w:rPr>
                <w:rFonts w:ascii="Lato" w:hAnsi="Lato"/>
              </w:rPr>
              <w:t>alternative</w:t>
            </w:r>
            <w:r>
              <w:rPr>
                <w:rFonts w:ascii="Lato" w:hAnsi="Lato"/>
              </w:rPr>
              <w:t xml:space="preserve"> options</w:t>
            </w:r>
            <w:r w:rsidR="00052789">
              <w:rPr>
                <w:rFonts w:ascii="Lato" w:hAnsi="Lato"/>
              </w:rPr>
              <w:t xml:space="preserve"> 3/4/5</w:t>
            </w:r>
            <w:r>
              <w:rPr>
                <w:rFonts w:ascii="Lato" w:hAnsi="Lato"/>
              </w:rPr>
              <w:t xml:space="preserve"> would result in many uncertainties in charging along with</w:t>
            </w:r>
            <w:r w:rsidR="007C4973">
              <w:rPr>
                <w:rFonts w:ascii="Lato" w:hAnsi="Lato"/>
              </w:rPr>
              <w:t xml:space="preserve"> potential for inconsistencies and other unintended consequences.</w:t>
            </w:r>
          </w:p>
        </w:tc>
      </w:tr>
      <w:tr w:rsidR="00F15596" w:rsidRPr="00B56577" w14:paraId="5A370E54" w14:textId="77777777" w:rsidTr="00F826F7">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2EE67D0A" w14:textId="08C248DC" w:rsidR="00F15596" w:rsidRPr="00DE5A35" w:rsidRDefault="00F15596" w:rsidP="00F15596">
            <w:pPr>
              <w:pStyle w:val="TableText-Left"/>
              <w:spacing w:line="276" w:lineRule="auto"/>
              <w:jc w:val="center"/>
              <w:rPr>
                <w:rFonts w:ascii="Lato" w:hAnsi="Lato"/>
                <w:color w:val="auto"/>
              </w:rPr>
            </w:pPr>
            <w:r w:rsidRPr="00DE5A35">
              <w:rPr>
                <w:rFonts w:ascii="Lato" w:hAnsi="Lato"/>
                <w:color w:val="auto"/>
              </w:rPr>
              <w:t>Q16</w:t>
            </w:r>
          </w:p>
        </w:tc>
        <w:tc>
          <w:tcPr>
            <w:tcW w:w="2519" w:type="pct"/>
            <w:vAlign w:val="center"/>
          </w:tcPr>
          <w:p w14:paraId="5B57A1F4" w14:textId="7F2D31BC" w:rsidR="00F15596" w:rsidRPr="00800E58"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How should weighting factors be calculated and updated?</w:t>
            </w:r>
          </w:p>
        </w:tc>
        <w:tc>
          <w:tcPr>
            <w:tcW w:w="2105" w:type="pct"/>
            <w:vAlign w:val="center"/>
          </w:tcPr>
          <w:p w14:paraId="4BECE5C2" w14:textId="3EFB3E4C" w:rsidR="00F15596" w:rsidRPr="00B56577" w:rsidRDefault="00052789"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would need to see further analysis of the network usage of these Users to able to comment on charging. The data provided in the diagrams given rely on 3 months’ worth of data, and we do not believe that we can extrapolate sufficiently from these.</w:t>
            </w:r>
          </w:p>
        </w:tc>
      </w:tr>
      <w:tr w:rsidR="00F15596" w:rsidRPr="00B56577" w14:paraId="32E42DBE" w14:textId="77777777" w:rsidTr="00F826F7">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4A9A543F" w14:textId="61AF86C7" w:rsidR="00F15596" w:rsidRPr="00DE5A35" w:rsidRDefault="00F15596" w:rsidP="00F15596">
            <w:pPr>
              <w:pStyle w:val="TableText-Left"/>
              <w:spacing w:line="276" w:lineRule="auto"/>
              <w:jc w:val="center"/>
              <w:rPr>
                <w:rFonts w:ascii="Lato" w:hAnsi="Lato"/>
                <w:color w:val="auto"/>
              </w:rPr>
            </w:pPr>
            <w:r w:rsidRPr="00DE5A35">
              <w:rPr>
                <w:rFonts w:ascii="Lato" w:hAnsi="Lato"/>
                <w:color w:val="auto"/>
              </w:rPr>
              <w:t>Q17</w:t>
            </w:r>
          </w:p>
        </w:tc>
        <w:tc>
          <w:tcPr>
            <w:tcW w:w="2519" w:type="pct"/>
            <w:vAlign w:val="center"/>
          </w:tcPr>
          <w:p w14:paraId="1D9ED0E7" w14:textId="0796D525" w:rsidR="00F15596" w:rsidRPr="00800E58"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Are there any other impacts or design considerations that should be captured</w:t>
            </w:r>
            <w:r>
              <w:rPr>
                <w:rFonts w:ascii="Lato" w:hAnsi="Lato"/>
              </w:rPr>
              <w:t xml:space="preserve"> under charging option 2</w:t>
            </w:r>
            <w:r w:rsidRPr="00DE5A35">
              <w:rPr>
                <w:rFonts w:ascii="Lato" w:hAnsi="Lato"/>
              </w:rPr>
              <w:t>?</w:t>
            </w:r>
          </w:p>
        </w:tc>
        <w:tc>
          <w:tcPr>
            <w:tcW w:w="2105" w:type="pct"/>
            <w:vAlign w:val="center"/>
          </w:tcPr>
          <w:p w14:paraId="70C0E37D" w14:textId="4FDBF5DD" w:rsidR="00F15596" w:rsidRPr="00B56577" w:rsidRDefault="00D7091C"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As a portion of the reads sent by a Network Operator are reactive to incidents and cannot be pre-planned, there is little room to manoeuvre our traffic to a low volume time. Therefore this design consideration for this role need not be a restricting factor. However, as noted with Option1; point 71 points to contracting additional capacity, perhaps there could be measures introduced to allow the DCC to take more accurate forecasting from user, and there is nothing to prevent discussion about shifting traffic within this charging methodology either</w:t>
            </w:r>
          </w:p>
        </w:tc>
      </w:tr>
      <w:tr w:rsidR="00F15596" w:rsidRPr="00B56577" w14:paraId="6C0ECDCC" w14:textId="77777777" w:rsidTr="00F826F7">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75A39241" w14:textId="07FEFA9A" w:rsidR="00F15596" w:rsidRPr="00DE5A35" w:rsidRDefault="00F15596" w:rsidP="00F15596">
            <w:pPr>
              <w:pStyle w:val="TableText-Left"/>
              <w:spacing w:line="276" w:lineRule="auto"/>
              <w:jc w:val="center"/>
              <w:rPr>
                <w:rFonts w:ascii="Lato" w:hAnsi="Lato"/>
                <w:color w:val="auto"/>
              </w:rPr>
            </w:pPr>
            <w:r w:rsidRPr="00DE5A35">
              <w:rPr>
                <w:rFonts w:ascii="Lato" w:hAnsi="Lato"/>
                <w:color w:val="auto"/>
              </w:rPr>
              <w:t>Q18</w:t>
            </w:r>
          </w:p>
        </w:tc>
        <w:tc>
          <w:tcPr>
            <w:tcW w:w="2519" w:type="pct"/>
            <w:vAlign w:val="center"/>
          </w:tcPr>
          <w:p w14:paraId="1F2EAE7E" w14:textId="1317B36D" w:rsidR="00F15596" w:rsidRPr="00800E58" w:rsidRDefault="00F15596" w:rsidP="00F155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DE5A35">
              <w:rPr>
                <w:rFonts w:ascii="Lato" w:hAnsi="Lato"/>
              </w:rPr>
              <w:t xml:space="preserve">How should the risk of under/over recovery be addressed under </w:t>
            </w:r>
            <w:r>
              <w:rPr>
                <w:rFonts w:ascii="Lato" w:hAnsi="Lato"/>
              </w:rPr>
              <w:t>charging</w:t>
            </w:r>
            <w:r w:rsidRPr="00DE5A35">
              <w:rPr>
                <w:rFonts w:ascii="Lato" w:hAnsi="Lato"/>
              </w:rPr>
              <w:t xml:space="preserve"> option</w:t>
            </w:r>
            <w:r>
              <w:rPr>
                <w:rFonts w:ascii="Lato" w:hAnsi="Lato"/>
              </w:rPr>
              <w:t xml:space="preserve"> 2</w:t>
            </w:r>
            <w:r w:rsidRPr="00DE5A35">
              <w:rPr>
                <w:rFonts w:ascii="Lato" w:hAnsi="Lato"/>
              </w:rPr>
              <w:t>?</w:t>
            </w:r>
          </w:p>
        </w:tc>
        <w:tc>
          <w:tcPr>
            <w:tcW w:w="2105" w:type="pct"/>
            <w:vAlign w:val="center"/>
          </w:tcPr>
          <w:p w14:paraId="5CE8DA62" w14:textId="462F2E81" w:rsidR="00F15596" w:rsidRPr="00B56577" w:rsidRDefault="007C4973" w:rsidP="001A02E8">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The risk of under/over recovery would be minimal with this option, unlike in Options 3/4/5.</w:t>
            </w:r>
            <w:r w:rsidR="00C62647">
              <w:rPr>
                <w:rFonts w:ascii="Lato" w:hAnsi="Lato"/>
              </w:rPr>
              <w:t xml:space="preserve"> As in current arrangements, the </w:t>
            </w:r>
            <w:r w:rsidR="00973E8F">
              <w:rPr>
                <w:rFonts w:ascii="Lato" w:hAnsi="Lato"/>
              </w:rPr>
              <w:t>under/</w:t>
            </w:r>
            <w:r w:rsidR="00C62647">
              <w:rPr>
                <w:rFonts w:ascii="Lato" w:hAnsi="Lato"/>
              </w:rPr>
              <w:t xml:space="preserve">over recovery </w:t>
            </w:r>
            <w:r w:rsidR="00973E8F">
              <w:rPr>
                <w:rFonts w:ascii="Lato" w:hAnsi="Lato"/>
              </w:rPr>
              <w:t>can be</w:t>
            </w:r>
            <w:r w:rsidR="00C62647">
              <w:rPr>
                <w:rFonts w:ascii="Lato" w:hAnsi="Lato"/>
              </w:rPr>
              <w:t xml:space="preserve"> monitored and then invoicing is adjusted to reflect this in the final quarter. </w:t>
            </w:r>
          </w:p>
        </w:tc>
      </w:tr>
    </w:tbl>
    <w:p w14:paraId="7B0C9A01" w14:textId="77777777" w:rsidR="00377B32" w:rsidRDefault="00377B32"/>
    <w:p w14:paraId="0BB5E558" w14:textId="40EF5A26" w:rsidR="00992DEC" w:rsidRPr="00992DEC" w:rsidRDefault="00992DEC" w:rsidP="00992DEC">
      <w:pPr>
        <w:pStyle w:val="Heading2"/>
        <w:spacing w:before="220" w:after="220"/>
        <w:ind w:left="709" w:hanging="709"/>
        <w:rPr>
          <w:rFonts w:ascii="Lato" w:eastAsiaTheme="minorHAnsi" w:hAnsi="Lato" w:cstheme="minorBidi"/>
          <w:bCs w:val="0"/>
          <w:iCs w:val="0"/>
          <w:color w:val="CA005D"/>
          <w:szCs w:val="22"/>
        </w:rPr>
      </w:pPr>
      <w:r w:rsidRPr="00992DEC">
        <w:rPr>
          <w:rFonts w:ascii="Lato" w:eastAsiaTheme="minorHAnsi" w:hAnsi="Lato" w:cstheme="minorBidi"/>
          <w:bCs w:val="0"/>
          <w:iCs w:val="0"/>
          <w:color w:val="CA005D"/>
          <w:szCs w:val="22"/>
        </w:rPr>
        <w:t xml:space="preserve">Questions on the approach to banding under </w:t>
      </w:r>
      <w:r>
        <w:rPr>
          <w:rFonts w:ascii="Lato" w:eastAsiaTheme="minorHAnsi" w:hAnsi="Lato" w:cstheme="minorBidi"/>
          <w:bCs w:val="0"/>
          <w:iCs w:val="0"/>
          <w:color w:val="CA005D"/>
          <w:szCs w:val="22"/>
        </w:rPr>
        <w:t>charging o</w:t>
      </w:r>
      <w:r w:rsidRPr="00992DEC">
        <w:rPr>
          <w:rFonts w:ascii="Lato" w:eastAsiaTheme="minorHAnsi" w:hAnsi="Lato" w:cstheme="minorBidi"/>
          <w:bCs w:val="0"/>
          <w:iCs w:val="0"/>
          <w:color w:val="CA005D"/>
          <w:szCs w:val="22"/>
        </w:rPr>
        <w:t>ption 3</w:t>
      </w:r>
    </w:p>
    <w:tbl>
      <w:tblPr>
        <w:tblStyle w:val="TableTemplate1"/>
        <w:tblW w:w="5000" w:type="pct"/>
        <w:tblLook w:val="04A0" w:firstRow="1" w:lastRow="0" w:firstColumn="1" w:lastColumn="0" w:noHBand="0" w:noVBand="1"/>
      </w:tblPr>
      <w:tblGrid>
        <w:gridCol w:w="1048"/>
        <w:gridCol w:w="7022"/>
        <w:gridCol w:w="5868"/>
      </w:tblGrid>
      <w:tr w:rsidR="009C4A2E" w:rsidRPr="00B56577" w14:paraId="1FD1AB5E" w14:textId="77777777" w:rsidTr="008E4FD4">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76" w:type="pct"/>
            <w:vAlign w:val="top"/>
          </w:tcPr>
          <w:p w14:paraId="224982BF" w14:textId="642FE4EB" w:rsidR="009C4A2E" w:rsidRPr="00B43A8D" w:rsidRDefault="009C4A2E" w:rsidP="009C4A2E">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2519" w:type="pct"/>
            <w:vAlign w:val="top"/>
          </w:tcPr>
          <w:p w14:paraId="79299686" w14:textId="3F3897B4" w:rsidR="009C4A2E" w:rsidRPr="00DE5A35" w:rsidRDefault="009C4A2E" w:rsidP="009C4A2E">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2105" w:type="pct"/>
            <w:vAlign w:val="top"/>
          </w:tcPr>
          <w:p w14:paraId="4B809B46" w14:textId="7920A815" w:rsidR="009C4A2E" w:rsidRPr="00B56577" w:rsidRDefault="009C4A2E" w:rsidP="009C4A2E">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9C4A2E" w:rsidRPr="00B56577" w14:paraId="6C89B8D6" w14:textId="77777777" w:rsidTr="008E4FD4">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5ABA427C" w14:textId="640CC703" w:rsidR="009C4A2E" w:rsidRPr="00B43A8D" w:rsidRDefault="009C4A2E" w:rsidP="009C4A2E">
            <w:pPr>
              <w:pStyle w:val="TableText-Left"/>
              <w:spacing w:line="276" w:lineRule="auto"/>
              <w:jc w:val="center"/>
              <w:rPr>
                <w:rFonts w:ascii="Lato" w:hAnsi="Lato"/>
              </w:rPr>
            </w:pPr>
            <w:r w:rsidRPr="00B43A8D">
              <w:rPr>
                <w:rFonts w:ascii="Lato" w:hAnsi="Lato"/>
                <w:color w:val="auto"/>
              </w:rPr>
              <w:t>Q19</w:t>
            </w:r>
          </w:p>
        </w:tc>
        <w:tc>
          <w:tcPr>
            <w:tcW w:w="2519" w:type="pct"/>
            <w:vAlign w:val="center"/>
          </w:tcPr>
          <w:p w14:paraId="369570C1" w14:textId="593B9A7A" w:rsidR="009C4A2E" w:rsidRPr="00B43A8D" w:rsidRDefault="009C4A2E" w:rsidP="009C4A2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In your view, how should DCC design bands of fixed charges and should they be the same across all User Categories? You can refer to any of the stylised examples described above to answer this question or propose alternative approaches that you would like DCC to consider.</w:t>
            </w:r>
          </w:p>
        </w:tc>
        <w:tc>
          <w:tcPr>
            <w:tcW w:w="2105" w:type="pct"/>
            <w:vAlign w:val="center"/>
          </w:tcPr>
          <w:p w14:paraId="1E137C06" w14:textId="028B5ADC" w:rsidR="009C4A2E" w:rsidRPr="00B56577" w:rsidRDefault="001D7B4F"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do not believe that the DCC should band fixed charges, as there are too many variables to calculate a monthly invoice. Considering payment terms are 5 wds there would also be little time for Users to verify the charges (if charging in arrears) or a User would not be able to deviate from projected use (if charging in advance). </w:t>
            </w:r>
          </w:p>
        </w:tc>
      </w:tr>
      <w:tr w:rsidR="009C4A2E" w:rsidRPr="00B56577" w14:paraId="322679E6" w14:textId="77777777" w:rsidTr="008E4FD4">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775B3E58" w14:textId="3C17AC8F" w:rsidR="009C4A2E" w:rsidRPr="00B43A8D" w:rsidRDefault="009C4A2E" w:rsidP="009C4A2E">
            <w:pPr>
              <w:pStyle w:val="TableText-Left"/>
              <w:spacing w:line="276" w:lineRule="auto"/>
              <w:jc w:val="center"/>
              <w:rPr>
                <w:rFonts w:ascii="Lato" w:hAnsi="Lato"/>
                <w:color w:val="auto"/>
              </w:rPr>
            </w:pPr>
            <w:r w:rsidRPr="00B43A8D">
              <w:rPr>
                <w:rFonts w:ascii="Lato" w:hAnsi="Lato"/>
                <w:color w:val="auto"/>
              </w:rPr>
              <w:t>Q20</w:t>
            </w:r>
          </w:p>
        </w:tc>
        <w:tc>
          <w:tcPr>
            <w:tcW w:w="2519" w:type="pct"/>
            <w:vAlign w:val="center"/>
          </w:tcPr>
          <w:p w14:paraId="0273B44D" w14:textId="580503D6" w:rsidR="009C4A2E" w:rsidRPr="00DE5A35" w:rsidRDefault="009C4A2E" w:rsidP="009C4A2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 xml:space="preserve">What would be a reasonable number of bands to set charges (at least initially)? </w:t>
            </w:r>
          </w:p>
        </w:tc>
        <w:tc>
          <w:tcPr>
            <w:tcW w:w="2105" w:type="pct"/>
            <w:vAlign w:val="center"/>
          </w:tcPr>
          <w:p w14:paraId="754C1EAD" w14:textId="64B9ABBC" w:rsidR="001D7B4F" w:rsidRPr="00B56577" w:rsidRDefault="001D7B4F" w:rsidP="001D7B4F">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Complexity for these options is increased the more variables are introduced, which in turn destabilises the charging process.</w:t>
            </w:r>
          </w:p>
          <w:p w14:paraId="2BD8AB0A" w14:textId="7ED65416" w:rsidR="009C4A2E" w:rsidRPr="00B56577" w:rsidRDefault="009C4A2E"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9C4A2E" w:rsidRPr="00B56577" w14:paraId="1F6A6E26" w14:textId="77777777" w:rsidTr="008E4FD4">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02C79ED7" w14:textId="146C288A" w:rsidR="009C4A2E" w:rsidRPr="00B43A8D" w:rsidRDefault="009C4A2E" w:rsidP="009C4A2E">
            <w:pPr>
              <w:pStyle w:val="TableText-Left"/>
              <w:spacing w:line="276" w:lineRule="auto"/>
              <w:jc w:val="center"/>
              <w:rPr>
                <w:rFonts w:ascii="Lato" w:hAnsi="Lato"/>
                <w:color w:val="auto"/>
              </w:rPr>
            </w:pPr>
            <w:r w:rsidRPr="00B43A8D">
              <w:rPr>
                <w:rFonts w:ascii="Lato" w:hAnsi="Lato"/>
                <w:color w:val="auto"/>
              </w:rPr>
              <w:t>Q21</w:t>
            </w:r>
          </w:p>
        </w:tc>
        <w:tc>
          <w:tcPr>
            <w:tcW w:w="2519" w:type="pct"/>
            <w:vAlign w:val="center"/>
          </w:tcPr>
          <w:p w14:paraId="3F2541D2" w14:textId="537103A1" w:rsidR="009C4A2E" w:rsidRPr="00DE5A35" w:rsidRDefault="009C4A2E" w:rsidP="009C4A2E">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B43A8D">
              <w:rPr>
                <w:rFonts w:ascii="Lato" w:hAnsi="Lato"/>
              </w:rPr>
              <w:t>How should the differential of charges between bands be determined?</w:t>
            </w:r>
          </w:p>
        </w:tc>
        <w:tc>
          <w:tcPr>
            <w:tcW w:w="2105" w:type="pct"/>
            <w:vAlign w:val="center"/>
          </w:tcPr>
          <w:p w14:paraId="49CF879C" w14:textId="77777777" w:rsidR="001D7B4F" w:rsidRPr="00B56577" w:rsidRDefault="001D7B4F" w:rsidP="001D7B4F">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Complexity for these options is increased the more variables are introduced, which in turn destabilises the charging process.</w:t>
            </w:r>
          </w:p>
          <w:p w14:paraId="135ADA03" w14:textId="04200619" w:rsidR="009C4A2E" w:rsidRPr="00B56577" w:rsidRDefault="009C4A2E" w:rsidP="001D7B4F">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22E33468" w14:textId="77777777" w:rsidR="00675CD5" w:rsidRDefault="00675CD5"/>
    <w:p w14:paraId="49AA92D4" w14:textId="009A4BC4" w:rsidR="00675CD5" w:rsidRPr="00675CD5" w:rsidRDefault="00675CD5" w:rsidP="00675CD5">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 xml:space="preserve">Questions on charging option </w:t>
      </w:r>
      <w:r>
        <w:rPr>
          <w:rFonts w:ascii="Lato" w:eastAsiaTheme="minorHAnsi" w:hAnsi="Lato" w:cstheme="minorBidi"/>
          <w:bCs w:val="0"/>
          <w:iCs w:val="0"/>
          <w:color w:val="CA005D"/>
          <w:szCs w:val="22"/>
        </w:rPr>
        <w:t>3</w:t>
      </w:r>
    </w:p>
    <w:tbl>
      <w:tblPr>
        <w:tblStyle w:val="TableTemplate1"/>
        <w:tblW w:w="5000" w:type="pct"/>
        <w:tblLook w:val="04A0" w:firstRow="1" w:lastRow="0" w:firstColumn="1" w:lastColumn="0" w:noHBand="0" w:noVBand="1"/>
      </w:tblPr>
      <w:tblGrid>
        <w:gridCol w:w="1048"/>
        <w:gridCol w:w="7022"/>
        <w:gridCol w:w="5868"/>
      </w:tblGrid>
      <w:tr w:rsidR="00675CD5" w:rsidRPr="00B56577" w14:paraId="4D357FAC" w14:textId="77777777" w:rsidTr="008E4FD4">
        <w:trPr>
          <w:cnfStyle w:val="100000000000" w:firstRow="1" w:lastRow="0" w:firstColumn="0" w:lastColumn="0" w:oddVBand="0" w:evenVBand="0" w:oddHBand="0" w:evenHBand="0" w:firstRowFirstColumn="0" w:firstRowLastColumn="0" w:lastRowFirstColumn="0" w:lastRowLastColumn="0"/>
          <w:trHeight w:val="171"/>
        </w:trPr>
        <w:tc>
          <w:tcPr>
            <w:cnfStyle w:val="001000000000" w:firstRow="0" w:lastRow="0" w:firstColumn="1" w:lastColumn="0" w:oddVBand="0" w:evenVBand="0" w:oddHBand="0" w:evenHBand="0" w:firstRowFirstColumn="0" w:firstRowLastColumn="0" w:lastRowFirstColumn="0" w:lastRowLastColumn="0"/>
            <w:tcW w:w="376" w:type="pct"/>
            <w:vAlign w:val="top"/>
          </w:tcPr>
          <w:p w14:paraId="71211753" w14:textId="40305245" w:rsidR="00675CD5" w:rsidRPr="00A85762" w:rsidRDefault="00675CD5" w:rsidP="00675CD5">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2519" w:type="pct"/>
            <w:vAlign w:val="top"/>
          </w:tcPr>
          <w:p w14:paraId="1D88C8E2" w14:textId="25449BCC" w:rsidR="00675CD5" w:rsidRPr="00B43A8D" w:rsidRDefault="00675CD5" w:rsidP="00675CD5">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2105" w:type="pct"/>
            <w:vAlign w:val="top"/>
          </w:tcPr>
          <w:p w14:paraId="238F5826" w14:textId="5419B6C0" w:rsidR="00675CD5" w:rsidRPr="00B56577" w:rsidRDefault="00675CD5" w:rsidP="00675CD5">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675CD5" w:rsidRPr="00B56577" w14:paraId="1732DA61" w14:textId="77777777" w:rsidTr="008E4FD4">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37C0763D" w14:textId="19FDD6B9" w:rsidR="00675CD5" w:rsidRPr="00A85762" w:rsidRDefault="00675CD5" w:rsidP="00675CD5">
            <w:pPr>
              <w:pStyle w:val="TableText-Left"/>
              <w:spacing w:line="276" w:lineRule="auto"/>
              <w:jc w:val="center"/>
              <w:rPr>
                <w:rFonts w:ascii="Lato" w:hAnsi="Lato"/>
              </w:rPr>
            </w:pPr>
            <w:r w:rsidRPr="00A85762">
              <w:rPr>
                <w:rFonts w:ascii="Lato" w:hAnsi="Lato"/>
                <w:color w:val="auto"/>
              </w:rPr>
              <w:t>Q22</w:t>
            </w:r>
          </w:p>
        </w:tc>
        <w:tc>
          <w:tcPr>
            <w:tcW w:w="2519" w:type="pct"/>
            <w:vAlign w:val="center"/>
          </w:tcPr>
          <w:p w14:paraId="6D84E49D" w14:textId="3A233699" w:rsidR="00675CD5" w:rsidRPr="00A85762" w:rsidRDefault="00675CD5" w:rsidP="00675CD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85762">
              <w:rPr>
                <w:rFonts w:ascii="Lato" w:hAnsi="Lato"/>
              </w:rPr>
              <w:t xml:space="preserve">Do you agree with our initial assessment </w:t>
            </w:r>
            <w:r w:rsidRPr="00FB6C2F">
              <w:rPr>
                <w:rFonts w:ascii="Lato" w:hAnsi="Lato"/>
              </w:rPr>
              <w:t xml:space="preserve">of the impact of </w:t>
            </w:r>
            <w:r w:rsidRPr="00A85762">
              <w:rPr>
                <w:rFonts w:ascii="Lato" w:hAnsi="Lato"/>
              </w:rPr>
              <w:t>charging option</w:t>
            </w:r>
            <w:r>
              <w:rPr>
                <w:rFonts w:ascii="Lato" w:hAnsi="Lato"/>
              </w:rPr>
              <w:t xml:space="preserve"> 3</w:t>
            </w:r>
            <w:r w:rsidRPr="00A85762">
              <w:rPr>
                <w:rFonts w:ascii="Lato" w:hAnsi="Lato"/>
              </w:rPr>
              <w:t xml:space="preserve">? </w:t>
            </w:r>
          </w:p>
        </w:tc>
        <w:tc>
          <w:tcPr>
            <w:tcW w:w="2105" w:type="pct"/>
            <w:vAlign w:val="center"/>
          </w:tcPr>
          <w:p w14:paraId="1E434ECD" w14:textId="54E12E3A" w:rsidR="00675CD5" w:rsidRPr="00B56577" w:rsidRDefault="004526CE"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can see that the assessment has sought to review this methodology, but in summary and covered by point 100 – Users have incentive to allow DCC to schedule a greater volume of SRVs</w:t>
            </w:r>
            <w:r w:rsidR="00716260">
              <w:rPr>
                <w:rFonts w:ascii="Lato" w:hAnsi="Lato"/>
              </w:rPr>
              <w:t xml:space="preserve"> and can therefore reduce network expansion. We believe (also see Q23) that we cannot schedule a good portion of our traffic, and that the DCC should be investing in network expansion regardless looking ahead to complete roll out. Service should not be reduced to deliver this, nor compromising benefit to users.</w:t>
            </w:r>
          </w:p>
        </w:tc>
      </w:tr>
      <w:tr w:rsidR="00675CD5" w:rsidRPr="00B56577" w14:paraId="29DD53EC" w14:textId="77777777" w:rsidTr="008E4FD4">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1FBF0CE5" w14:textId="0E276330" w:rsidR="00675CD5" w:rsidRPr="00A85762" w:rsidRDefault="00675CD5" w:rsidP="00675CD5">
            <w:pPr>
              <w:pStyle w:val="TableText-Left"/>
              <w:spacing w:line="276" w:lineRule="auto"/>
              <w:jc w:val="center"/>
              <w:rPr>
                <w:rFonts w:ascii="Lato" w:hAnsi="Lato"/>
                <w:color w:val="auto"/>
              </w:rPr>
            </w:pPr>
            <w:r w:rsidRPr="00A85762">
              <w:rPr>
                <w:rFonts w:ascii="Lato" w:hAnsi="Lato"/>
                <w:color w:val="auto"/>
              </w:rPr>
              <w:t>Q23</w:t>
            </w:r>
          </w:p>
        </w:tc>
        <w:tc>
          <w:tcPr>
            <w:tcW w:w="2519" w:type="pct"/>
            <w:vAlign w:val="center"/>
          </w:tcPr>
          <w:p w14:paraId="7F5E6BD4" w14:textId="0D877E17" w:rsidR="00675CD5" w:rsidRPr="00B43A8D" w:rsidRDefault="00675CD5" w:rsidP="00675CD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85762">
              <w:rPr>
                <w:rFonts w:ascii="Lato" w:hAnsi="Lato"/>
              </w:rPr>
              <w:t>Are there any other impacts or design considerations that should be captured</w:t>
            </w:r>
            <w:r>
              <w:rPr>
                <w:rFonts w:ascii="Lato" w:hAnsi="Lato"/>
              </w:rPr>
              <w:t xml:space="preserve"> under charging option 3</w:t>
            </w:r>
            <w:r w:rsidRPr="00A85762">
              <w:rPr>
                <w:rFonts w:ascii="Lato" w:hAnsi="Lato"/>
              </w:rPr>
              <w:t>?</w:t>
            </w:r>
          </w:p>
        </w:tc>
        <w:tc>
          <w:tcPr>
            <w:tcW w:w="2105" w:type="pct"/>
            <w:vAlign w:val="center"/>
          </w:tcPr>
          <w:p w14:paraId="645B9E86" w14:textId="74E2DEF5" w:rsidR="00675CD5" w:rsidRPr="00B56577" w:rsidRDefault="004526CE"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The consideration is not given to Users who are unable to schedule some of their interaction. A Network Operator cannot schedule outages on their Network which lead to them pinging Meters, or taking similar readings. The use here varies greatly, and banding could not capture outages &amp; disaster recovery effectively</w:t>
            </w:r>
          </w:p>
        </w:tc>
      </w:tr>
      <w:tr w:rsidR="00675CD5" w:rsidRPr="00B56577" w14:paraId="24D81258" w14:textId="77777777" w:rsidTr="008E4FD4">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1B334419" w14:textId="222B569D" w:rsidR="00675CD5" w:rsidRPr="00A85762" w:rsidRDefault="00675CD5" w:rsidP="00675CD5">
            <w:pPr>
              <w:pStyle w:val="TableText-Left"/>
              <w:spacing w:line="276" w:lineRule="auto"/>
              <w:jc w:val="center"/>
              <w:rPr>
                <w:rFonts w:ascii="Lato" w:hAnsi="Lato"/>
                <w:color w:val="auto"/>
              </w:rPr>
            </w:pPr>
            <w:r w:rsidRPr="00A85762">
              <w:rPr>
                <w:rFonts w:ascii="Lato" w:hAnsi="Lato"/>
                <w:color w:val="auto"/>
              </w:rPr>
              <w:t>Q24</w:t>
            </w:r>
          </w:p>
        </w:tc>
        <w:tc>
          <w:tcPr>
            <w:tcW w:w="2519" w:type="pct"/>
            <w:vAlign w:val="center"/>
          </w:tcPr>
          <w:p w14:paraId="18C82EA7" w14:textId="2C3C9003" w:rsidR="00675CD5" w:rsidRPr="00B43A8D" w:rsidRDefault="009616E1" w:rsidP="00675CD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9616E1">
              <w:rPr>
                <w:rFonts w:ascii="Lato" w:hAnsi="Lato"/>
              </w:rPr>
              <w:t>Do you have any comments on the costs your organisation may incur in implementing charging option 3</w:t>
            </w:r>
            <w:r w:rsidR="00675CD5" w:rsidRPr="00A85762">
              <w:rPr>
                <w:rFonts w:ascii="Lato" w:hAnsi="Lato"/>
              </w:rPr>
              <w:t xml:space="preserve">? </w:t>
            </w:r>
          </w:p>
        </w:tc>
        <w:tc>
          <w:tcPr>
            <w:tcW w:w="2105" w:type="pct"/>
            <w:vAlign w:val="center"/>
          </w:tcPr>
          <w:p w14:paraId="52B27FA7" w14:textId="14308246" w:rsidR="00675CD5" w:rsidRPr="00B56577" w:rsidRDefault="009145EF" w:rsidP="009711E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do </w:t>
            </w:r>
            <w:r w:rsidR="00D13867">
              <w:rPr>
                <w:rFonts w:ascii="Lato" w:hAnsi="Lato"/>
              </w:rPr>
              <w:t xml:space="preserve">not </w:t>
            </w:r>
            <w:r>
              <w:rPr>
                <w:rFonts w:ascii="Lato" w:hAnsi="Lato"/>
              </w:rPr>
              <w:t>believe that this method can be implemented without causing great instability to both the use and benefits of the network. As identified throughout the review document these costings have potential to be prohibitive to innovation and use.</w:t>
            </w:r>
            <w:r w:rsidR="001D7B4F">
              <w:rPr>
                <w:rFonts w:ascii="Lato" w:hAnsi="Lato"/>
              </w:rPr>
              <w:t xml:space="preserve"> Point 92 points to committing to a given level of service provision in exchange for a given level of charges – this is not an appropriate means of encouraging usage of the Network, but also implies that there is an alternative to the service which the DCC supplies. This would also contravene Charging</w:t>
            </w:r>
            <w:r w:rsidR="004526CE">
              <w:rPr>
                <w:rFonts w:ascii="Lato" w:hAnsi="Lato"/>
              </w:rPr>
              <w:t xml:space="preserve"> Objectives which state that Users should not </w:t>
            </w:r>
            <w:r w:rsidR="009711E6">
              <w:rPr>
                <w:rFonts w:ascii="Lato" w:hAnsi="Lato"/>
              </w:rPr>
              <w:t>subsidise</w:t>
            </w:r>
            <w:bookmarkStart w:id="1" w:name="_GoBack"/>
            <w:bookmarkEnd w:id="1"/>
            <w:r w:rsidR="004526CE">
              <w:rPr>
                <w:rFonts w:ascii="Lato" w:hAnsi="Lato"/>
              </w:rPr>
              <w:t xml:space="preserve"> another User.</w:t>
            </w:r>
            <w:r w:rsidR="00716260">
              <w:rPr>
                <w:rFonts w:ascii="Lato" w:hAnsi="Lato"/>
              </w:rPr>
              <w:t xml:space="preserve"> Figure 7 would prevent innovative trials as users would need to buy in to a ‘Premium Service’</w:t>
            </w:r>
          </w:p>
        </w:tc>
      </w:tr>
    </w:tbl>
    <w:p w14:paraId="035D93B0" w14:textId="77777777" w:rsidR="00D7442C" w:rsidRDefault="00D7442C"/>
    <w:p w14:paraId="1E95738E" w14:textId="1A2D2D1E" w:rsidR="00D7442C" w:rsidRPr="008678B6" w:rsidRDefault="008678B6" w:rsidP="008678B6">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 xml:space="preserve">Questions on charging option </w:t>
      </w:r>
      <w:r>
        <w:rPr>
          <w:rFonts w:ascii="Lato" w:eastAsiaTheme="minorHAnsi" w:hAnsi="Lato" w:cstheme="minorBidi"/>
          <w:bCs w:val="0"/>
          <w:iCs w:val="0"/>
          <w:color w:val="CA005D"/>
          <w:szCs w:val="22"/>
        </w:rPr>
        <w:t>4</w:t>
      </w:r>
    </w:p>
    <w:tbl>
      <w:tblPr>
        <w:tblStyle w:val="TableTemplate1"/>
        <w:tblW w:w="5000" w:type="pct"/>
        <w:tblLook w:val="04A0" w:firstRow="1" w:lastRow="0" w:firstColumn="1" w:lastColumn="0" w:noHBand="0" w:noVBand="1"/>
      </w:tblPr>
      <w:tblGrid>
        <w:gridCol w:w="1048"/>
        <w:gridCol w:w="6598"/>
        <w:gridCol w:w="6292"/>
      </w:tblGrid>
      <w:tr w:rsidR="00D7442C" w:rsidRPr="00B56577" w14:paraId="0237AD25" w14:textId="77777777" w:rsidTr="00D13867">
        <w:trPr>
          <w:cnfStyle w:val="100000000000" w:firstRow="1" w:lastRow="0" w:firstColumn="0" w:lastColumn="0" w:oddVBand="0" w:evenVBand="0" w:oddHBand="0" w:evenHBand="0" w:firstRowFirstColumn="0" w:firstRowLastColumn="0" w:lastRowFirstColumn="0" w:lastRowLastColumn="0"/>
          <w:trHeight w:val="122"/>
        </w:trPr>
        <w:tc>
          <w:tcPr>
            <w:cnfStyle w:val="001000000000" w:firstRow="0" w:lastRow="0" w:firstColumn="1" w:lastColumn="0" w:oddVBand="0" w:evenVBand="0" w:oddHBand="0" w:evenHBand="0" w:firstRowFirstColumn="0" w:firstRowLastColumn="0" w:lastRowFirstColumn="0" w:lastRowLastColumn="0"/>
            <w:tcW w:w="376" w:type="pct"/>
            <w:vAlign w:val="top"/>
          </w:tcPr>
          <w:p w14:paraId="6D8C411C" w14:textId="16EEAB65" w:rsidR="00D7442C" w:rsidRPr="00CA1679" w:rsidRDefault="00D7442C" w:rsidP="00D7442C">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2367" w:type="pct"/>
            <w:vAlign w:val="top"/>
          </w:tcPr>
          <w:p w14:paraId="38AABD8B" w14:textId="5D320BCB" w:rsidR="00D7442C" w:rsidRPr="00A85762" w:rsidRDefault="00D7442C" w:rsidP="00D7442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2257" w:type="pct"/>
            <w:vAlign w:val="top"/>
          </w:tcPr>
          <w:p w14:paraId="09364668" w14:textId="63FB5D3C" w:rsidR="00D7442C" w:rsidRPr="00B56577" w:rsidRDefault="00D7442C" w:rsidP="00D7442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D7442C" w:rsidRPr="00B56577" w14:paraId="2E7FCD4F" w14:textId="77777777" w:rsidTr="00D13867">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5C806B98" w14:textId="0E2212E0" w:rsidR="00D7442C" w:rsidRPr="00CA1679" w:rsidRDefault="00D7442C" w:rsidP="00D7442C">
            <w:pPr>
              <w:pStyle w:val="TableText-Left"/>
              <w:spacing w:line="276" w:lineRule="auto"/>
              <w:jc w:val="center"/>
              <w:rPr>
                <w:rFonts w:ascii="Lato" w:hAnsi="Lato"/>
              </w:rPr>
            </w:pPr>
            <w:r w:rsidRPr="00CA1679">
              <w:rPr>
                <w:rFonts w:ascii="Lato" w:hAnsi="Lato"/>
                <w:color w:val="auto"/>
              </w:rPr>
              <w:t>Q25</w:t>
            </w:r>
          </w:p>
        </w:tc>
        <w:tc>
          <w:tcPr>
            <w:tcW w:w="2367" w:type="pct"/>
            <w:vAlign w:val="center"/>
          </w:tcPr>
          <w:p w14:paraId="45AC9BB5" w14:textId="4C3ACF86" w:rsidR="00D7442C" w:rsidRPr="00FB6C2F" w:rsidRDefault="00D7442C"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Do you agree with our initial assessment of the impact of charging option</w:t>
            </w:r>
            <w:r>
              <w:rPr>
                <w:rFonts w:ascii="Lato" w:hAnsi="Lato"/>
              </w:rPr>
              <w:t xml:space="preserve"> 4</w:t>
            </w:r>
            <w:r w:rsidRPr="00FB6C2F">
              <w:rPr>
                <w:rFonts w:ascii="Lato" w:hAnsi="Lato"/>
              </w:rPr>
              <w:t xml:space="preserve">? </w:t>
            </w:r>
          </w:p>
        </w:tc>
        <w:tc>
          <w:tcPr>
            <w:tcW w:w="2257" w:type="pct"/>
            <w:vAlign w:val="center"/>
          </w:tcPr>
          <w:p w14:paraId="09DE4167" w14:textId="3B4B2DAF" w:rsidR="00D7442C" w:rsidRPr="00B56577" w:rsidRDefault="00D13867"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have reviewed the initial assessment, and understand that this is an initial assessment, and as such there is little data to convey the impact this could have to individual users (ie individual costs to users etc), nor is there sufficient evidence to demonstrate network expansion and what satisfactory service levels are/would be. As such, we cannot make educated comment on this, other than to reiterate that variable charges both deter innovative use and imply there is an alternative service available to that which the DCC provides</w:t>
            </w:r>
          </w:p>
        </w:tc>
      </w:tr>
      <w:tr w:rsidR="00D7442C" w:rsidRPr="00B56577" w14:paraId="460C1862" w14:textId="77777777" w:rsidTr="00D13867">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762651D4" w14:textId="02066718" w:rsidR="00D7442C" w:rsidRPr="00CA1679" w:rsidRDefault="00D7442C" w:rsidP="00D7442C">
            <w:pPr>
              <w:pStyle w:val="TableText-Left"/>
              <w:spacing w:line="276" w:lineRule="auto"/>
              <w:jc w:val="center"/>
              <w:rPr>
                <w:rFonts w:ascii="Lato" w:hAnsi="Lato"/>
                <w:color w:val="auto"/>
              </w:rPr>
            </w:pPr>
            <w:r w:rsidRPr="00CA1679">
              <w:rPr>
                <w:rFonts w:ascii="Lato" w:hAnsi="Lato"/>
                <w:color w:val="auto"/>
              </w:rPr>
              <w:t>Q26</w:t>
            </w:r>
          </w:p>
        </w:tc>
        <w:tc>
          <w:tcPr>
            <w:tcW w:w="2367" w:type="pct"/>
            <w:vAlign w:val="center"/>
          </w:tcPr>
          <w:p w14:paraId="371E37D7" w14:textId="423D9669" w:rsidR="00D7442C" w:rsidRPr="00A85762" w:rsidRDefault="00D7442C"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 xml:space="preserve">What type of costs do you think should be recovered through the standing charge? </w:t>
            </w:r>
          </w:p>
        </w:tc>
        <w:tc>
          <w:tcPr>
            <w:tcW w:w="2257" w:type="pct"/>
            <w:vAlign w:val="center"/>
          </w:tcPr>
          <w:p w14:paraId="1D50F678" w14:textId="17490D51" w:rsidR="00D7442C" w:rsidRPr="00B56577" w:rsidRDefault="00D13867"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Please see answer to Q25</w:t>
            </w:r>
          </w:p>
        </w:tc>
      </w:tr>
      <w:tr w:rsidR="00D7442C" w:rsidRPr="00B56577" w14:paraId="3E1A0ABD" w14:textId="77777777" w:rsidTr="00D13867">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0BC81BD5" w14:textId="689B095F" w:rsidR="00D7442C" w:rsidRPr="00CA1679" w:rsidRDefault="00D7442C" w:rsidP="00D7442C">
            <w:pPr>
              <w:pStyle w:val="TableText-Left"/>
              <w:spacing w:line="276" w:lineRule="auto"/>
              <w:jc w:val="center"/>
              <w:rPr>
                <w:rFonts w:ascii="Lato" w:hAnsi="Lato"/>
                <w:color w:val="auto"/>
              </w:rPr>
            </w:pPr>
            <w:r w:rsidRPr="00CA1679">
              <w:rPr>
                <w:rFonts w:ascii="Lato" w:hAnsi="Lato"/>
                <w:color w:val="auto"/>
              </w:rPr>
              <w:t>Q27</w:t>
            </w:r>
          </w:p>
        </w:tc>
        <w:tc>
          <w:tcPr>
            <w:tcW w:w="2367" w:type="pct"/>
            <w:vAlign w:val="center"/>
          </w:tcPr>
          <w:p w14:paraId="16E07CFE" w14:textId="110E2670" w:rsidR="00D7442C" w:rsidRPr="00A85762" w:rsidRDefault="00D7442C"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B6C2F">
              <w:rPr>
                <w:rFonts w:ascii="Lato" w:hAnsi="Lato"/>
              </w:rPr>
              <w:t>Are there any other impacts or design considerations that should be captured</w:t>
            </w:r>
            <w:r>
              <w:rPr>
                <w:rFonts w:ascii="Lato" w:hAnsi="Lato"/>
              </w:rPr>
              <w:t xml:space="preserve"> under charging option 4</w:t>
            </w:r>
            <w:r w:rsidRPr="00FB6C2F">
              <w:rPr>
                <w:rFonts w:ascii="Lato" w:hAnsi="Lato"/>
              </w:rPr>
              <w:t>?</w:t>
            </w:r>
          </w:p>
        </w:tc>
        <w:tc>
          <w:tcPr>
            <w:tcW w:w="2257" w:type="pct"/>
            <w:vAlign w:val="center"/>
          </w:tcPr>
          <w:p w14:paraId="3D27E21B" w14:textId="05BF97B2" w:rsidR="00D7442C" w:rsidRPr="00B56577" w:rsidRDefault="00D13867"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Please see answer to Q25</w:t>
            </w:r>
          </w:p>
        </w:tc>
      </w:tr>
      <w:tr w:rsidR="00D7442C" w:rsidRPr="00B56577" w14:paraId="186CC79A" w14:textId="77777777" w:rsidTr="00D13867">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338E3934" w14:textId="54B73F7B" w:rsidR="00D7442C" w:rsidRPr="00CA1679" w:rsidRDefault="00D7442C" w:rsidP="00D7442C">
            <w:pPr>
              <w:pStyle w:val="TableText-Left"/>
              <w:spacing w:line="276" w:lineRule="auto"/>
              <w:jc w:val="center"/>
              <w:rPr>
                <w:rFonts w:ascii="Lato" w:hAnsi="Lato"/>
                <w:color w:val="auto"/>
              </w:rPr>
            </w:pPr>
            <w:r w:rsidRPr="00CA1679">
              <w:rPr>
                <w:rFonts w:ascii="Lato" w:hAnsi="Lato"/>
                <w:color w:val="auto"/>
              </w:rPr>
              <w:t>Q28</w:t>
            </w:r>
          </w:p>
        </w:tc>
        <w:tc>
          <w:tcPr>
            <w:tcW w:w="2367" w:type="pct"/>
            <w:vAlign w:val="center"/>
          </w:tcPr>
          <w:p w14:paraId="72354C17" w14:textId="74166B17" w:rsidR="00D7442C" w:rsidRPr="00A85762" w:rsidRDefault="00A541E1" w:rsidP="00D7442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A541E1">
              <w:rPr>
                <w:rFonts w:ascii="Lato" w:hAnsi="Lato"/>
              </w:rPr>
              <w:t xml:space="preserve">Do you have any comments on the costs your organisation may incur in implementing charging option </w:t>
            </w:r>
            <w:r>
              <w:rPr>
                <w:rFonts w:ascii="Lato" w:hAnsi="Lato"/>
              </w:rPr>
              <w:t>4</w:t>
            </w:r>
            <w:r w:rsidR="00D7442C" w:rsidRPr="00FB6C2F">
              <w:rPr>
                <w:rFonts w:ascii="Lato" w:hAnsi="Lato"/>
              </w:rPr>
              <w:t>?</w:t>
            </w:r>
          </w:p>
        </w:tc>
        <w:tc>
          <w:tcPr>
            <w:tcW w:w="2257" w:type="pct"/>
            <w:vAlign w:val="center"/>
          </w:tcPr>
          <w:p w14:paraId="5585428A" w14:textId="1C7B6379" w:rsidR="00D13867" w:rsidRPr="00B56577" w:rsidRDefault="00D13867" w:rsidP="00D13867">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Please see answer to Q25</w:t>
            </w:r>
          </w:p>
          <w:p w14:paraId="01B50426" w14:textId="65D49451" w:rsidR="00D7442C" w:rsidRPr="00B56577" w:rsidRDefault="00D7442C"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bl>
    <w:p w14:paraId="3EFA60D5" w14:textId="77777777" w:rsidR="006A6000" w:rsidRDefault="006A6000"/>
    <w:p w14:paraId="1BA86C05" w14:textId="77777777" w:rsidR="006A6000" w:rsidRPr="008678B6" w:rsidRDefault="006A6000" w:rsidP="006A6000">
      <w:pPr>
        <w:pStyle w:val="Heading2"/>
        <w:spacing w:before="220" w:after="220"/>
        <w:ind w:left="709" w:hanging="709"/>
        <w:rPr>
          <w:rFonts w:ascii="Lato" w:eastAsiaTheme="minorHAnsi" w:hAnsi="Lato" w:cstheme="minorBidi"/>
          <w:bCs w:val="0"/>
          <w:iCs w:val="0"/>
          <w:color w:val="CA005D"/>
          <w:szCs w:val="22"/>
        </w:rPr>
      </w:pPr>
      <w:r w:rsidRPr="00A90540">
        <w:rPr>
          <w:rFonts w:ascii="Lato" w:eastAsiaTheme="minorHAnsi" w:hAnsi="Lato" w:cstheme="minorBidi"/>
          <w:bCs w:val="0"/>
          <w:iCs w:val="0"/>
          <w:color w:val="CA005D"/>
          <w:szCs w:val="22"/>
        </w:rPr>
        <w:t xml:space="preserve">Questions on charging option </w:t>
      </w:r>
      <w:r>
        <w:rPr>
          <w:rFonts w:ascii="Lato" w:eastAsiaTheme="minorHAnsi" w:hAnsi="Lato" w:cstheme="minorBidi"/>
          <w:bCs w:val="0"/>
          <w:iCs w:val="0"/>
          <w:color w:val="CA005D"/>
          <w:szCs w:val="22"/>
        </w:rPr>
        <w:t>5</w:t>
      </w:r>
    </w:p>
    <w:tbl>
      <w:tblPr>
        <w:tblStyle w:val="TableTemplate1"/>
        <w:tblW w:w="5000" w:type="pct"/>
        <w:tblLook w:val="04A0" w:firstRow="1" w:lastRow="0" w:firstColumn="1" w:lastColumn="0" w:noHBand="0" w:noVBand="1"/>
      </w:tblPr>
      <w:tblGrid>
        <w:gridCol w:w="1048"/>
        <w:gridCol w:w="6598"/>
        <w:gridCol w:w="6292"/>
      </w:tblGrid>
      <w:tr w:rsidR="00232D96" w:rsidRPr="00B56577" w14:paraId="481A4024" w14:textId="77777777" w:rsidTr="00D13867">
        <w:trPr>
          <w:cnfStyle w:val="100000000000" w:firstRow="1" w:lastRow="0" w:firstColumn="0" w:lastColumn="0" w:oddVBand="0" w:evenVBand="0" w:oddHBand="0" w:evenHBand="0" w:firstRowFirstColumn="0" w:firstRowLastColumn="0" w:lastRowFirstColumn="0" w:lastRowLastColumn="0"/>
          <w:trHeight w:val="130"/>
        </w:trPr>
        <w:tc>
          <w:tcPr>
            <w:cnfStyle w:val="001000000000" w:firstRow="0" w:lastRow="0" w:firstColumn="1" w:lastColumn="0" w:oddVBand="0" w:evenVBand="0" w:oddHBand="0" w:evenHBand="0" w:firstRowFirstColumn="0" w:firstRowLastColumn="0" w:lastRowFirstColumn="0" w:lastRowLastColumn="0"/>
            <w:tcW w:w="376" w:type="pct"/>
            <w:vAlign w:val="top"/>
          </w:tcPr>
          <w:p w14:paraId="13D80923" w14:textId="6B0CE96A" w:rsidR="00232D96" w:rsidRPr="007D7F88" w:rsidRDefault="00232D96" w:rsidP="00232D96">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2367" w:type="pct"/>
            <w:vAlign w:val="top"/>
          </w:tcPr>
          <w:p w14:paraId="61E34F51" w14:textId="2979ECF4" w:rsidR="00232D96" w:rsidRPr="00FB6C2F" w:rsidRDefault="00232D96" w:rsidP="00232D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2257" w:type="pct"/>
            <w:vAlign w:val="top"/>
          </w:tcPr>
          <w:p w14:paraId="6866BAD4" w14:textId="4584152C" w:rsidR="00232D96" w:rsidRPr="00B56577" w:rsidRDefault="00232D96" w:rsidP="00232D96">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232D96" w:rsidRPr="00B56577" w14:paraId="70174910" w14:textId="77777777" w:rsidTr="00D13867">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0EA9F9EB" w14:textId="552446CF" w:rsidR="00232D96" w:rsidRDefault="00232D96" w:rsidP="00232D96">
            <w:pPr>
              <w:pStyle w:val="TableText-Left"/>
              <w:spacing w:line="276" w:lineRule="auto"/>
              <w:jc w:val="center"/>
              <w:rPr>
                <w:rFonts w:ascii="Lato" w:hAnsi="Lato"/>
              </w:rPr>
            </w:pPr>
            <w:r>
              <w:rPr>
                <w:rFonts w:ascii="Lato" w:hAnsi="Lato"/>
                <w:color w:val="auto"/>
              </w:rPr>
              <w:t>Q29</w:t>
            </w:r>
          </w:p>
        </w:tc>
        <w:tc>
          <w:tcPr>
            <w:tcW w:w="2367" w:type="pct"/>
            <w:vAlign w:val="center"/>
          </w:tcPr>
          <w:p w14:paraId="29E56159" w14:textId="6BBD4E03" w:rsidR="00232D96" w:rsidRPr="00377971"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377971">
              <w:rPr>
                <w:rFonts w:ascii="Lato" w:hAnsi="Lato"/>
              </w:rPr>
              <w:t>Do you agree with our initial assessment of the impact of charging option</w:t>
            </w:r>
            <w:r>
              <w:rPr>
                <w:rFonts w:ascii="Lato" w:hAnsi="Lato"/>
              </w:rPr>
              <w:t xml:space="preserve"> 5</w:t>
            </w:r>
            <w:r w:rsidRPr="00377971">
              <w:rPr>
                <w:rFonts w:ascii="Lato" w:hAnsi="Lato"/>
              </w:rPr>
              <w:t>?</w:t>
            </w:r>
          </w:p>
        </w:tc>
        <w:tc>
          <w:tcPr>
            <w:tcW w:w="2257" w:type="pct"/>
            <w:vAlign w:val="center"/>
          </w:tcPr>
          <w:p w14:paraId="5FD456EA" w14:textId="7AC55084" w:rsidR="00232D96" w:rsidRPr="00B56577" w:rsidRDefault="0068441D"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have reviewed the initial assessment, and understand that this is an </w:t>
            </w:r>
            <w:r w:rsidRPr="0068441D">
              <w:rPr>
                <w:rFonts w:ascii="Lato" w:hAnsi="Lato"/>
                <w:b/>
              </w:rPr>
              <w:t>initial</w:t>
            </w:r>
            <w:r>
              <w:rPr>
                <w:rFonts w:ascii="Lato" w:hAnsi="Lato"/>
              </w:rPr>
              <w:t xml:space="preserve"> assessment, and as such there is little data to convey the impact this could have to individual users (ie individual costs to users etc), nor is there sufficient evidence to demonstrate network expansion and what satisfactory service levels are/would be. As such, we cannot make educated comment on this, other than to reiterate that variable charges both deter innovative use and imply there is an alternative service available to that which the DCC provides</w:t>
            </w:r>
          </w:p>
        </w:tc>
      </w:tr>
      <w:tr w:rsidR="00232D96" w:rsidRPr="00B56577" w14:paraId="6C4A27D0" w14:textId="77777777" w:rsidTr="00D13867">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2A9B1C16" w14:textId="0A691506" w:rsidR="00232D96" w:rsidRPr="007D7F88" w:rsidRDefault="00232D96" w:rsidP="00232D96">
            <w:pPr>
              <w:pStyle w:val="TableText-Left"/>
              <w:spacing w:line="276" w:lineRule="auto"/>
              <w:jc w:val="center"/>
              <w:rPr>
                <w:rFonts w:ascii="Lato" w:hAnsi="Lato"/>
                <w:color w:val="auto"/>
              </w:rPr>
            </w:pPr>
            <w:r>
              <w:rPr>
                <w:rFonts w:ascii="Lato" w:hAnsi="Lato"/>
                <w:color w:val="auto"/>
              </w:rPr>
              <w:t>Q30</w:t>
            </w:r>
          </w:p>
        </w:tc>
        <w:tc>
          <w:tcPr>
            <w:tcW w:w="2367" w:type="pct"/>
            <w:vAlign w:val="center"/>
          </w:tcPr>
          <w:p w14:paraId="1B913284" w14:textId="2BEFA69C" w:rsidR="00232D96" w:rsidRPr="00FB6C2F"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Do you agree with our views on the granularity of variable charges? Are there any other characteristics that are important differentiate variable charges on?</w:t>
            </w:r>
          </w:p>
        </w:tc>
        <w:tc>
          <w:tcPr>
            <w:tcW w:w="2257" w:type="pct"/>
            <w:vAlign w:val="center"/>
          </w:tcPr>
          <w:p w14:paraId="2C4BA01C" w14:textId="16744069" w:rsidR="00232D96" w:rsidRPr="00B56577" w:rsidRDefault="0068441D"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believe that this would be an onerous task; fixing different charges for varying combinations and believe that this would have to be under constant review to ensure weighting is correct and proportionate to use.</w:t>
            </w:r>
          </w:p>
        </w:tc>
      </w:tr>
      <w:tr w:rsidR="00232D96" w:rsidRPr="00B56577" w14:paraId="6CC531CD" w14:textId="77777777" w:rsidTr="00D13867">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2B0361C4" w14:textId="6063D729" w:rsidR="00232D96" w:rsidRPr="007D7F88" w:rsidRDefault="00232D96" w:rsidP="00232D96">
            <w:pPr>
              <w:pStyle w:val="TableText-Left"/>
              <w:spacing w:line="276" w:lineRule="auto"/>
              <w:jc w:val="center"/>
              <w:rPr>
                <w:rFonts w:ascii="Lato" w:hAnsi="Lato"/>
                <w:color w:val="auto"/>
              </w:rPr>
            </w:pPr>
            <w:r>
              <w:rPr>
                <w:rFonts w:ascii="Lato" w:hAnsi="Lato"/>
                <w:color w:val="auto"/>
              </w:rPr>
              <w:t>Q31</w:t>
            </w:r>
          </w:p>
        </w:tc>
        <w:tc>
          <w:tcPr>
            <w:tcW w:w="2367" w:type="pct"/>
            <w:vAlign w:val="center"/>
          </w:tcPr>
          <w:p w14:paraId="3BCA6FAC" w14:textId="23D78421" w:rsidR="00232D96" w:rsidRPr="00FB6C2F"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 xml:space="preserve">Do you agree with our proposed approach to calibrating variable charges? </w:t>
            </w:r>
          </w:p>
        </w:tc>
        <w:tc>
          <w:tcPr>
            <w:tcW w:w="2257" w:type="pct"/>
            <w:vAlign w:val="center"/>
          </w:tcPr>
          <w:p w14:paraId="602B00A9" w14:textId="3D221C62" w:rsidR="00232D96" w:rsidRPr="00B56577" w:rsidRDefault="0068441D"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believe that this would be an onerous task; fixing different charges for varying combinations and believe that this would have to be under constant review to ensure weighting is correct and proportionate to use.</w:t>
            </w:r>
          </w:p>
        </w:tc>
      </w:tr>
      <w:tr w:rsidR="00232D96" w:rsidRPr="00B56577" w14:paraId="1CF0AD1D" w14:textId="77777777" w:rsidTr="00D13867">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57851534" w14:textId="45795DD4" w:rsidR="00232D96" w:rsidRPr="007D7F88" w:rsidRDefault="00232D96" w:rsidP="00232D96">
            <w:pPr>
              <w:pStyle w:val="TableText-Left"/>
              <w:spacing w:line="276" w:lineRule="auto"/>
              <w:jc w:val="center"/>
              <w:rPr>
                <w:rFonts w:ascii="Lato" w:hAnsi="Lato"/>
                <w:color w:val="auto"/>
              </w:rPr>
            </w:pPr>
            <w:r>
              <w:rPr>
                <w:rFonts w:ascii="Lato" w:hAnsi="Lato"/>
                <w:color w:val="auto"/>
              </w:rPr>
              <w:t>Q32</w:t>
            </w:r>
          </w:p>
        </w:tc>
        <w:tc>
          <w:tcPr>
            <w:tcW w:w="2367" w:type="pct"/>
            <w:vAlign w:val="center"/>
          </w:tcPr>
          <w:p w14:paraId="278B5278" w14:textId="18E04B8B" w:rsidR="00232D96" w:rsidRPr="00FB6C2F" w:rsidRDefault="00232D96"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423CFE">
              <w:rPr>
                <w:rFonts w:ascii="Lato" w:hAnsi="Lato"/>
              </w:rPr>
              <w:t>Are there any other impacts or design considerations that should be captured</w:t>
            </w:r>
            <w:r>
              <w:rPr>
                <w:rFonts w:ascii="Lato" w:hAnsi="Lato"/>
              </w:rPr>
              <w:t xml:space="preserve"> under charging option 5</w:t>
            </w:r>
            <w:r w:rsidRPr="00423CFE">
              <w:rPr>
                <w:rFonts w:ascii="Lato" w:hAnsi="Lato"/>
              </w:rPr>
              <w:t>?</w:t>
            </w:r>
          </w:p>
        </w:tc>
        <w:tc>
          <w:tcPr>
            <w:tcW w:w="2257" w:type="pct"/>
            <w:vAlign w:val="center"/>
          </w:tcPr>
          <w:p w14:paraId="26E7929F" w14:textId="5CA7C95C" w:rsidR="00232D96" w:rsidRPr="00B56577" w:rsidRDefault="0068441D"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We believe that this would be an onerous task; fixing different charges for varying combinations and believe that this would have to be under constant review to ensure weighting is correct and proportionate to use.</w:t>
            </w:r>
          </w:p>
        </w:tc>
      </w:tr>
      <w:tr w:rsidR="00232D96" w:rsidRPr="00B56577" w14:paraId="49DB9C7C" w14:textId="77777777" w:rsidTr="00D13867">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5BB7F9BE" w14:textId="2B156AEE" w:rsidR="00232D96" w:rsidRPr="007D7F88" w:rsidRDefault="00232D96" w:rsidP="00232D96">
            <w:pPr>
              <w:pStyle w:val="TableText-Left"/>
              <w:spacing w:line="276" w:lineRule="auto"/>
              <w:jc w:val="center"/>
              <w:rPr>
                <w:rFonts w:ascii="Lato" w:hAnsi="Lato"/>
                <w:color w:val="auto"/>
              </w:rPr>
            </w:pPr>
            <w:r>
              <w:rPr>
                <w:rFonts w:ascii="Lato" w:hAnsi="Lato"/>
                <w:color w:val="auto"/>
              </w:rPr>
              <w:t>Q33</w:t>
            </w:r>
          </w:p>
        </w:tc>
        <w:tc>
          <w:tcPr>
            <w:tcW w:w="2367" w:type="pct"/>
            <w:vAlign w:val="center"/>
          </w:tcPr>
          <w:p w14:paraId="3BF4E336" w14:textId="58ABE653" w:rsidR="00232D96" w:rsidRPr="00FB6C2F" w:rsidRDefault="00F7669E" w:rsidP="00232D96">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F7669E">
              <w:rPr>
                <w:rFonts w:ascii="Lato" w:hAnsi="Lato"/>
              </w:rPr>
              <w:t>Do you have any comments on the costs your organisation may incur in implementing charging option 5</w:t>
            </w:r>
            <w:r w:rsidR="00232D96" w:rsidRPr="00423CFE">
              <w:rPr>
                <w:rFonts w:ascii="Lato" w:hAnsi="Lato"/>
              </w:rPr>
              <w:t>?</w:t>
            </w:r>
          </w:p>
        </w:tc>
        <w:tc>
          <w:tcPr>
            <w:tcW w:w="2257" w:type="pct"/>
            <w:vAlign w:val="center"/>
          </w:tcPr>
          <w:p w14:paraId="3CBD6BC1" w14:textId="702351D0" w:rsidR="00232D96" w:rsidRPr="00B56577" w:rsidRDefault="0068441D"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As with the other variable options, we would like to flag that designing, implementing and monitoring this methodology would inhibit use cases and would bring complexity to a network which should be used to facilitate time effective benefits to the consumer.</w:t>
            </w:r>
          </w:p>
        </w:tc>
      </w:tr>
    </w:tbl>
    <w:p w14:paraId="10371575" w14:textId="77777777" w:rsidR="001E030C" w:rsidRDefault="001E030C"/>
    <w:p w14:paraId="11C84733" w14:textId="565C311C" w:rsidR="006A6000" w:rsidRPr="008678B6" w:rsidRDefault="008F6064" w:rsidP="006A6000">
      <w:pPr>
        <w:pStyle w:val="Heading2"/>
        <w:spacing w:before="220" w:after="220"/>
        <w:ind w:left="709" w:hanging="709"/>
        <w:rPr>
          <w:rFonts w:ascii="Lato" w:eastAsiaTheme="minorHAnsi" w:hAnsi="Lato" w:cstheme="minorBidi"/>
          <w:bCs w:val="0"/>
          <w:iCs w:val="0"/>
          <w:color w:val="CA005D"/>
          <w:szCs w:val="22"/>
        </w:rPr>
      </w:pPr>
      <w:r w:rsidRPr="008F6064">
        <w:rPr>
          <w:rFonts w:ascii="Lato" w:eastAsiaTheme="minorHAnsi" w:hAnsi="Lato" w:cstheme="minorBidi"/>
          <w:bCs w:val="0"/>
          <w:iCs w:val="0"/>
          <w:color w:val="CA005D"/>
          <w:szCs w:val="22"/>
        </w:rPr>
        <w:t xml:space="preserve">Overarching questions (all </w:t>
      </w:r>
      <w:r>
        <w:rPr>
          <w:rFonts w:ascii="Lato" w:eastAsiaTheme="minorHAnsi" w:hAnsi="Lato" w:cstheme="minorBidi"/>
          <w:bCs w:val="0"/>
          <w:iCs w:val="0"/>
          <w:color w:val="CA005D"/>
          <w:szCs w:val="22"/>
        </w:rPr>
        <w:t xml:space="preserve">charging </w:t>
      </w:r>
      <w:r w:rsidRPr="008F6064">
        <w:rPr>
          <w:rFonts w:ascii="Lato" w:eastAsiaTheme="minorHAnsi" w:hAnsi="Lato" w:cstheme="minorBidi"/>
          <w:bCs w:val="0"/>
          <w:iCs w:val="0"/>
          <w:color w:val="CA005D"/>
          <w:szCs w:val="22"/>
        </w:rPr>
        <w:t>options)</w:t>
      </w:r>
    </w:p>
    <w:tbl>
      <w:tblPr>
        <w:tblStyle w:val="TableTemplate1"/>
        <w:tblW w:w="5000" w:type="pct"/>
        <w:tblLook w:val="04A0" w:firstRow="1" w:lastRow="0" w:firstColumn="1" w:lastColumn="0" w:noHBand="0" w:noVBand="1"/>
      </w:tblPr>
      <w:tblGrid>
        <w:gridCol w:w="1048"/>
        <w:gridCol w:w="6598"/>
        <w:gridCol w:w="6292"/>
      </w:tblGrid>
      <w:tr w:rsidR="001E030C" w:rsidRPr="00B56577" w14:paraId="6C3FD763" w14:textId="77777777" w:rsidTr="0068441D">
        <w:trPr>
          <w:cnfStyle w:val="100000000000" w:firstRow="1" w:lastRow="0" w:firstColumn="0" w:lastColumn="0" w:oddVBand="0" w:evenVBand="0" w:oddHBand="0" w:evenHBand="0" w:firstRowFirstColumn="0" w:firstRowLastColumn="0" w:lastRowFirstColumn="0" w:lastRowLastColumn="0"/>
          <w:trHeight w:val="58"/>
        </w:trPr>
        <w:tc>
          <w:tcPr>
            <w:cnfStyle w:val="001000000000" w:firstRow="0" w:lastRow="0" w:firstColumn="1" w:lastColumn="0" w:oddVBand="0" w:evenVBand="0" w:oddHBand="0" w:evenHBand="0" w:firstRowFirstColumn="0" w:firstRowLastColumn="0" w:lastRowFirstColumn="0" w:lastRowLastColumn="0"/>
            <w:tcW w:w="376" w:type="pct"/>
            <w:vAlign w:val="top"/>
          </w:tcPr>
          <w:p w14:paraId="592B13DB" w14:textId="4034B657" w:rsidR="001E030C" w:rsidRPr="007D7F88" w:rsidRDefault="001E030C" w:rsidP="001E030C">
            <w:pPr>
              <w:pStyle w:val="TableText-Left"/>
              <w:spacing w:line="276" w:lineRule="auto"/>
              <w:jc w:val="center"/>
              <w:rPr>
                <w:rFonts w:ascii="Lato" w:hAnsi="Lato"/>
                <w:color w:val="auto"/>
              </w:rPr>
            </w:pPr>
            <w:r w:rsidRPr="00B56577">
              <w:rPr>
                <w:rFonts w:ascii="Lato" w:hAnsi="Lato"/>
              </w:rPr>
              <w:t>Numb</w:t>
            </w:r>
            <w:r>
              <w:rPr>
                <w:rFonts w:ascii="Lato" w:hAnsi="Lato"/>
              </w:rPr>
              <w:t>er</w:t>
            </w:r>
          </w:p>
        </w:tc>
        <w:tc>
          <w:tcPr>
            <w:tcW w:w="2367" w:type="pct"/>
            <w:vAlign w:val="top"/>
          </w:tcPr>
          <w:p w14:paraId="64A59FCF" w14:textId="67AAD316" w:rsidR="001E030C" w:rsidRPr="00FB6C2F" w:rsidRDefault="001E030C" w:rsidP="001E030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Question</w:t>
            </w:r>
          </w:p>
        </w:tc>
        <w:tc>
          <w:tcPr>
            <w:tcW w:w="2257" w:type="pct"/>
            <w:vAlign w:val="top"/>
          </w:tcPr>
          <w:p w14:paraId="40F0AD94" w14:textId="1F70DE11" w:rsidR="001E030C" w:rsidRPr="00B56577" w:rsidRDefault="001E030C" w:rsidP="001E030C">
            <w:pPr>
              <w:pStyle w:val="TableText-Left"/>
              <w:spacing w:line="276" w:lineRule="auto"/>
              <w:cnfStyle w:val="100000000000" w:firstRow="1" w:lastRow="0" w:firstColumn="0" w:lastColumn="0" w:oddVBand="0" w:evenVBand="0" w:oddHBand="0" w:evenHBand="0" w:firstRowFirstColumn="0" w:firstRowLastColumn="0" w:lastRowFirstColumn="0" w:lastRowLastColumn="0"/>
              <w:rPr>
                <w:rFonts w:ascii="Lato" w:hAnsi="Lato"/>
              </w:rPr>
            </w:pPr>
            <w:r w:rsidRPr="00B56577">
              <w:rPr>
                <w:rFonts w:ascii="Lato" w:hAnsi="Lato"/>
              </w:rPr>
              <w:t>Response</w:t>
            </w:r>
          </w:p>
        </w:tc>
      </w:tr>
      <w:tr w:rsidR="001E030C" w:rsidRPr="00B56577" w14:paraId="00A712C5" w14:textId="77777777" w:rsidTr="0068441D">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45255DB6" w14:textId="03B6EE62" w:rsidR="001E030C" w:rsidRDefault="001E030C" w:rsidP="001E030C">
            <w:pPr>
              <w:pStyle w:val="TableText-Left"/>
              <w:spacing w:line="276" w:lineRule="auto"/>
              <w:jc w:val="center"/>
              <w:rPr>
                <w:rFonts w:ascii="Lato" w:hAnsi="Lato"/>
              </w:rPr>
            </w:pPr>
            <w:r>
              <w:rPr>
                <w:rFonts w:ascii="Lato" w:hAnsi="Lato"/>
                <w:color w:val="auto"/>
              </w:rPr>
              <w:t>Q34</w:t>
            </w:r>
          </w:p>
        </w:tc>
        <w:tc>
          <w:tcPr>
            <w:tcW w:w="2367" w:type="pct"/>
            <w:vAlign w:val="center"/>
          </w:tcPr>
          <w:p w14:paraId="4588E31D" w14:textId="1BE3D615" w:rsidR="001E030C" w:rsidRPr="00C22E7C"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Which charging model do you think is most viable? Please provide reasons for your response and include evidence to support this where possible.</w:t>
            </w:r>
          </w:p>
        </w:tc>
        <w:tc>
          <w:tcPr>
            <w:tcW w:w="2257" w:type="pct"/>
            <w:vAlign w:val="center"/>
          </w:tcPr>
          <w:p w14:paraId="2F7D9AC4" w14:textId="74B8B270" w:rsidR="001E030C" w:rsidRPr="00B56577" w:rsidRDefault="00CA62FA"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We believe that Option 1 – Status Quo remains the most viable option for stability in charging, and whilst the roll out continues it is not feasible to draw accurate conclusions on usage of the Network. </w:t>
            </w:r>
          </w:p>
        </w:tc>
      </w:tr>
      <w:tr w:rsidR="001E030C" w:rsidRPr="00B56577" w14:paraId="07C78842" w14:textId="77777777" w:rsidTr="0068441D">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4E207BB5" w14:textId="6489B1A3" w:rsidR="001E030C" w:rsidRPr="007D7F88" w:rsidRDefault="001E030C" w:rsidP="001E030C">
            <w:pPr>
              <w:pStyle w:val="TableText-Left"/>
              <w:spacing w:line="276" w:lineRule="auto"/>
              <w:jc w:val="center"/>
              <w:rPr>
                <w:rFonts w:ascii="Lato" w:hAnsi="Lato"/>
                <w:color w:val="auto"/>
              </w:rPr>
            </w:pPr>
            <w:r>
              <w:rPr>
                <w:rFonts w:ascii="Lato" w:hAnsi="Lato"/>
                <w:color w:val="auto"/>
              </w:rPr>
              <w:t>Q35</w:t>
            </w:r>
          </w:p>
        </w:tc>
        <w:tc>
          <w:tcPr>
            <w:tcW w:w="2367" w:type="pct"/>
            <w:vAlign w:val="center"/>
          </w:tcPr>
          <w:p w14:paraId="4F36B388" w14:textId="197B3A95" w:rsidR="001E030C" w:rsidRPr="00FB6C2F"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Are there any other charging models that you think should be considered?</w:t>
            </w:r>
          </w:p>
        </w:tc>
        <w:tc>
          <w:tcPr>
            <w:tcW w:w="2257" w:type="pct"/>
            <w:vAlign w:val="center"/>
          </w:tcPr>
          <w:p w14:paraId="5DB46F27" w14:textId="1E5A03C6" w:rsidR="00CA62FA" w:rsidRDefault="00CA62FA" w:rsidP="00CA62F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Whilst the roll out has not completed and Network Operators face barriers in obtaining </w:t>
            </w:r>
            <w:r w:rsidR="00DA3366">
              <w:rPr>
                <w:rFonts w:ascii="Lato" w:hAnsi="Lato"/>
              </w:rPr>
              <w:t xml:space="preserve">successful and accurate </w:t>
            </w:r>
            <w:r w:rsidR="00DA3366" w:rsidRPr="00F92E8E">
              <w:rPr>
                <w:rFonts w:ascii="Lato" w:hAnsi="Lato"/>
              </w:rPr>
              <w:t>data</w:t>
            </w:r>
            <w:r w:rsidRPr="00F92E8E">
              <w:rPr>
                <w:rFonts w:ascii="Lato" w:hAnsi="Lato"/>
              </w:rPr>
              <w:t xml:space="preserve">, </w:t>
            </w:r>
            <w:r>
              <w:rPr>
                <w:rFonts w:ascii="Lato" w:hAnsi="Lato"/>
              </w:rPr>
              <w:t xml:space="preserve">it is difficult to look ahead and forecast usage accurately, as there are systems in place which are more reliable and accurate. </w:t>
            </w:r>
            <w:r w:rsidR="00DA3366" w:rsidRPr="00F92E8E">
              <w:rPr>
                <w:rFonts w:ascii="Lato" w:hAnsi="Lato"/>
              </w:rPr>
              <w:t xml:space="preserve">Also it should be considered that the way in which </w:t>
            </w:r>
            <w:r w:rsidR="00F92E8E" w:rsidRPr="00F92E8E">
              <w:rPr>
                <w:rFonts w:ascii="Lato" w:hAnsi="Lato"/>
              </w:rPr>
              <w:t>Network Operators</w:t>
            </w:r>
            <w:r w:rsidR="00DA3366" w:rsidRPr="00F92E8E">
              <w:rPr>
                <w:rFonts w:ascii="Lato" w:hAnsi="Lato"/>
              </w:rPr>
              <w:t xml:space="preserve"> are having to use the DCC network is sending more frequent SRV’s (ie daily) to ensure a smaller message size and success of SRV, as opposed to 1 SRV to collect 1 months</w:t>
            </w:r>
            <w:r w:rsidR="00F92E8E" w:rsidRPr="00F92E8E">
              <w:rPr>
                <w:rFonts w:ascii="Lato" w:hAnsi="Lato"/>
              </w:rPr>
              <w:t>’ worth of</w:t>
            </w:r>
            <w:r w:rsidR="00DA3366" w:rsidRPr="00F92E8E">
              <w:rPr>
                <w:rFonts w:ascii="Lato" w:hAnsi="Lato"/>
              </w:rPr>
              <w:t xml:space="preserve"> data.</w:t>
            </w:r>
            <w:r w:rsidR="00F92E8E" w:rsidRPr="00F92E8E">
              <w:rPr>
                <w:rFonts w:ascii="Lato" w:hAnsi="Lato"/>
              </w:rPr>
              <w:t xml:space="preserve"> </w:t>
            </w:r>
            <w:r w:rsidR="00DA3366" w:rsidRPr="00F92E8E">
              <w:rPr>
                <w:rFonts w:ascii="Lato" w:hAnsi="Lato"/>
              </w:rPr>
              <w:t xml:space="preserve">This has increased volumes </w:t>
            </w:r>
            <w:r w:rsidR="00F92E8E" w:rsidRPr="00F92E8E">
              <w:rPr>
                <w:rFonts w:ascii="Lato" w:hAnsi="Lato"/>
              </w:rPr>
              <w:t xml:space="preserve">tenfold </w:t>
            </w:r>
            <w:r w:rsidR="00DA3366" w:rsidRPr="00F92E8E">
              <w:rPr>
                <w:rFonts w:ascii="Lato" w:hAnsi="Lato"/>
              </w:rPr>
              <w:t xml:space="preserve">across the network daily. </w:t>
            </w:r>
            <w:r w:rsidR="00F92E8E" w:rsidRPr="00F92E8E">
              <w:rPr>
                <w:rFonts w:ascii="Lato" w:hAnsi="Lato"/>
              </w:rPr>
              <w:t xml:space="preserve">We have been instructed to act in this way. </w:t>
            </w:r>
            <w:r>
              <w:rPr>
                <w:rFonts w:ascii="Lato" w:hAnsi="Lato"/>
              </w:rPr>
              <w:t xml:space="preserve">Whilst reviewing the charging models proposed we have thought about meters which are impacted by clock drift, which are non-communicative or have incorrect firmware and the impacts these have upon NGEDs use cases for smart data. </w:t>
            </w:r>
          </w:p>
          <w:p w14:paraId="1F9C4864" w14:textId="41E2E2B2" w:rsidR="00CA62FA" w:rsidRPr="00B56577" w:rsidRDefault="00CA62FA" w:rsidP="00CA62FA">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When thinking about this in line with the SMEDR Programme, it does raise the question about the accuracy of the data which is held/facilitated by the DCC Network. </w:t>
            </w:r>
          </w:p>
          <w:p w14:paraId="00924E03" w14:textId="547E7D98" w:rsidR="001E030C" w:rsidRPr="00B56577" w:rsidRDefault="001E030C"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p>
        </w:tc>
      </w:tr>
      <w:tr w:rsidR="001E030C" w:rsidRPr="00B56577" w14:paraId="191C56E9" w14:textId="77777777" w:rsidTr="0068441D">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1804A599" w14:textId="24FFAD63" w:rsidR="001E030C" w:rsidRPr="007D7F88" w:rsidRDefault="001E030C" w:rsidP="001E030C">
            <w:pPr>
              <w:pStyle w:val="TableText-Left"/>
              <w:spacing w:line="276" w:lineRule="auto"/>
              <w:jc w:val="center"/>
              <w:rPr>
                <w:rFonts w:ascii="Lato" w:hAnsi="Lato"/>
                <w:color w:val="auto"/>
              </w:rPr>
            </w:pPr>
            <w:r>
              <w:rPr>
                <w:rFonts w:ascii="Lato" w:hAnsi="Lato"/>
                <w:color w:val="auto"/>
              </w:rPr>
              <w:t>Q36</w:t>
            </w:r>
          </w:p>
        </w:tc>
        <w:tc>
          <w:tcPr>
            <w:tcW w:w="2367" w:type="pct"/>
            <w:vAlign w:val="center"/>
          </w:tcPr>
          <w:p w14:paraId="0551A1A6" w14:textId="2783364E" w:rsidR="001E030C" w:rsidRPr="00FB6C2F"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In your view, how does uncertainty about future demand affect the attractiveness of the proposed charging models?</w:t>
            </w:r>
          </w:p>
        </w:tc>
        <w:tc>
          <w:tcPr>
            <w:tcW w:w="2257" w:type="pct"/>
            <w:vAlign w:val="center"/>
          </w:tcPr>
          <w:p w14:paraId="27B30039" w14:textId="63C4AF82" w:rsidR="001E030C" w:rsidRPr="00B56577" w:rsidRDefault="00CA62FA"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It is indeed the case that the uncertainty of the future demand and the increasing reliance upon the accuracy/efficiency of the Network which impacts the ‘attractiveness’ of these proposed models. It is difficult to forecast without also envisioning the barriers which these new models may well impose upon use cases/access.</w:t>
            </w:r>
            <w:r w:rsidR="0068441D">
              <w:rPr>
                <w:rFonts w:ascii="Lato" w:hAnsi="Lato"/>
              </w:rPr>
              <w:t xml:space="preserve"> It is also difficult to separate Charging Methodologies from the service delivered by the DCC Network. These items should be reviewed together. It is harder still to comment then when levels of service are being offered as an option, because there is no alternative to the DCC Network, and focus should be also given to driving improvements for Users in current charging arrangements.</w:t>
            </w:r>
          </w:p>
        </w:tc>
      </w:tr>
      <w:tr w:rsidR="001E030C" w:rsidRPr="00B56577" w14:paraId="56341F55" w14:textId="77777777" w:rsidTr="0068441D">
        <w:trPr>
          <w:cantSplit/>
          <w:trHeight w:val="1404"/>
        </w:trPr>
        <w:tc>
          <w:tcPr>
            <w:cnfStyle w:val="001000000000" w:firstRow="0" w:lastRow="0" w:firstColumn="1" w:lastColumn="0" w:oddVBand="0" w:evenVBand="0" w:oddHBand="0" w:evenHBand="0" w:firstRowFirstColumn="0" w:firstRowLastColumn="0" w:lastRowFirstColumn="0" w:lastRowLastColumn="0"/>
            <w:tcW w:w="376" w:type="pct"/>
            <w:vAlign w:val="center"/>
          </w:tcPr>
          <w:p w14:paraId="5FF52F27" w14:textId="1E90C122" w:rsidR="001E030C" w:rsidRPr="007D7F88" w:rsidRDefault="001E030C" w:rsidP="001E030C">
            <w:pPr>
              <w:pStyle w:val="TableText-Left"/>
              <w:spacing w:line="276" w:lineRule="auto"/>
              <w:jc w:val="center"/>
              <w:rPr>
                <w:rFonts w:ascii="Lato" w:hAnsi="Lato"/>
                <w:color w:val="auto"/>
              </w:rPr>
            </w:pPr>
            <w:r>
              <w:rPr>
                <w:rFonts w:ascii="Lato" w:hAnsi="Lato"/>
                <w:color w:val="auto"/>
              </w:rPr>
              <w:t>Q37</w:t>
            </w:r>
          </w:p>
        </w:tc>
        <w:tc>
          <w:tcPr>
            <w:tcW w:w="2367" w:type="pct"/>
            <w:vAlign w:val="center"/>
          </w:tcPr>
          <w:p w14:paraId="5C1EC515" w14:textId="6FC70F72" w:rsidR="001E030C" w:rsidRPr="00FB6C2F" w:rsidRDefault="001E030C" w:rsidP="001E030C">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sidRPr="00C22E7C">
              <w:rPr>
                <w:rFonts w:ascii="Lato" w:hAnsi="Lato"/>
              </w:rPr>
              <w:t xml:space="preserve">Do you have any comments on the timing for reform implementation? </w:t>
            </w:r>
          </w:p>
        </w:tc>
        <w:tc>
          <w:tcPr>
            <w:tcW w:w="2257" w:type="pct"/>
            <w:vAlign w:val="center"/>
          </w:tcPr>
          <w:p w14:paraId="237B8F45" w14:textId="38BE670B" w:rsidR="001E030C" w:rsidRPr="00B56577" w:rsidRDefault="00CA62FA" w:rsidP="008D67C5">
            <w:pPr>
              <w:pStyle w:val="TableText-Left"/>
              <w:spacing w:line="276" w:lineRule="auto"/>
              <w:cnfStyle w:val="000000000000" w:firstRow="0" w:lastRow="0" w:firstColumn="0" w:lastColumn="0" w:oddVBand="0" w:evenVBand="0" w:oddHBand="0" w:evenHBand="0" w:firstRowFirstColumn="0" w:firstRowLastColumn="0" w:lastRowFirstColumn="0" w:lastRowLastColumn="0"/>
              <w:rPr>
                <w:rFonts w:ascii="Lato" w:hAnsi="Lato"/>
              </w:rPr>
            </w:pPr>
            <w:r>
              <w:rPr>
                <w:rFonts w:ascii="Lato" w:hAnsi="Lato"/>
              </w:rPr>
              <w:t xml:space="preserve">The roll out has not completed, and there are several </w:t>
            </w:r>
            <w:r w:rsidR="009178A5">
              <w:rPr>
                <w:rFonts w:ascii="Lato" w:hAnsi="Lato"/>
              </w:rPr>
              <w:t>unknowns and uncertainties about usage – are there measures in place to review at 80% penetration/complete installation?</w:t>
            </w:r>
            <w:r>
              <w:rPr>
                <w:rFonts w:ascii="Lato" w:hAnsi="Lato"/>
              </w:rPr>
              <w:t xml:space="preserve"> </w:t>
            </w:r>
          </w:p>
        </w:tc>
      </w:tr>
    </w:tbl>
    <w:p w14:paraId="3347CD4B" w14:textId="3D0D68B5" w:rsidR="00422EF3" w:rsidRPr="00B56577" w:rsidRDefault="00422EF3" w:rsidP="00EB0019">
      <w:pPr>
        <w:spacing w:before="0" w:after="0" w:line="276" w:lineRule="auto"/>
        <w:jc w:val="both"/>
        <w:rPr>
          <w:rFonts w:ascii="Lato" w:eastAsia="MS PGothic" w:hAnsi="Lato"/>
          <w:szCs w:val="22"/>
        </w:rPr>
      </w:pPr>
    </w:p>
    <w:sectPr w:rsidR="00422EF3" w:rsidRPr="00B56577" w:rsidSect="00681D59">
      <w:headerReference w:type="default" r:id="rId14"/>
      <w:footerReference w:type="default" r:id="rId15"/>
      <w:pgSz w:w="16838" w:h="11906" w:orient="landscape" w:code="9"/>
      <w:pgMar w:top="1440" w:right="1440" w:bottom="1440" w:left="1440" w:header="340" w:footer="39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9CFA5" w14:textId="77777777" w:rsidR="00681D59" w:rsidRDefault="00681D59" w:rsidP="00FA568E">
      <w:pPr>
        <w:spacing w:after="0"/>
      </w:pPr>
      <w:r>
        <w:separator/>
      </w:r>
    </w:p>
  </w:endnote>
  <w:endnote w:type="continuationSeparator" w:id="0">
    <w:p w14:paraId="4B71B00D" w14:textId="77777777" w:rsidR="00681D59" w:rsidRDefault="00681D59" w:rsidP="00FA568E">
      <w:pPr>
        <w:spacing w:after="0"/>
      </w:pPr>
      <w:r>
        <w:continuationSeparator/>
      </w:r>
    </w:p>
  </w:endnote>
  <w:endnote w:type="continuationNotice" w:id="1">
    <w:p w14:paraId="1DA46A7C" w14:textId="77777777" w:rsidR="00681D59" w:rsidRDefault="00681D5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Rounded MT Bold">
    <w:panose1 w:val="020F070403050403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ato">
    <w:altName w:val="Arial"/>
    <w:charset w:val="00"/>
    <w:family w:val="swiss"/>
    <w:pitch w:val="variable"/>
    <w:sig w:usb0="E10002FF" w:usb1="5000ECFF" w:usb2="00000021"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Template2"/>
      <w:tblW w:w="5123" w:type="pct"/>
      <w:tblBorders>
        <w:insideH w:val="none" w:sz="0" w:space="0" w:color="auto"/>
        <w:insideV w:val="none" w:sz="0" w:space="0" w:color="auto"/>
      </w:tblBorders>
      <w:tblLook w:val="0600" w:firstRow="0" w:lastRow="0" w:firstColumn="0" w:lastColumn="0" w:noHBand="1" w:noVBand="1"/>
    </w:tblPr>
    <w:tblGrid>
      <w:gridCol w:w="4766"/>
      <w:gridCol w:w="4766"/>
      <w:gridCol w:w="4769"/>
    </w:tblGrid>
    <w:tr w:rsidR="00E34ABA" w:rsidRPr="00F8524C" w14:paraId="35FCC390" w14:textId="77777777" w:rsidTr="002B6D09">
      <w:tc>
        <w:tcPr>
          <w:tcW w:w="1666" w:type="pct"/>
        </w:tcPr>
        <w:p w14:paraId="6FFFA15E" w14:textId="77777777" w:rsidR="002E637C" w:rsidRDefault="005F7F6C" w:rsidP="00F37854">
          <w:pPr>
            <w:pStyle w:val="Footer"/>
            <w:rPr>
              <w:sz w:val="20"/>
              <w:szCs w:val="20"/>
            </w:rPr>
          </w:pPr>
          <w:r>
            <w:rPr>
              <w:noProof/>
              <w:sz w:val="20"/>
              <w:szCs w:val="20"/>
              <w:lang w:val="en-GB" w:eastAsia="en-GB"/>
            </w:rPr>
            <mc:AlternateContent>
              <mc:Choice Requires="wps">
                <w:drawing>
                  <wp:anchor distT="0" distB="0" distL="114300" distR="114300" simplePos="0" relativeHeight="251658240" behindDoc="0" locked="0" layoutInCell="0" allowOverlap="1" wp14:anchorId="76A40466" wp14:editId="1BA14076">
                    <wp:simplePos x="0" y="0"/>
                    <wp:positionH relativeFrom="page">
                      <wp:posOffset>0</wp:posOffset>
                    </wp:positionH>
                    <wp:positionV relativeFrom="page">
                      <wp:posOffset>7096125</wp:posOffset>
                    </wp:positionV>
                    <wp:extent cx="10692130" cy="273050"/>
                    <wp:effectExtent l="0" t="0" r="0" b="12700"/>
                    <wp:wrapNone/>
                    <wp:docPr id="2" name="MSIPCM7d6245f08f0e738f83707a39" descr="{&quot;HashCode&quot;:2052356286,&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76A40466" id="_x0000_t202" coordsize="21600,21600" o:spt="202" path="m,l,21600r21600,l21600,xe">
                    <v:stroke joinstyle="miter"/>
                    <v:path gradientshapeok="t" o:connecttype="rect"/>
                  </v:shapetype>
                  <v:shape id="MSIPCM7d6245f08f0e738f83707a39" o:spid="_x0000_s1026" type="#_x0000_t202" alt="{&quot;HashCode&quot;:2052356286,&quot;Height&quot;:595.0,&quot;Width&quot;:841.0,&quot;Placement&quot;:&quot;Footer&quot;,&quot;Index&quot;:&quot;Primary&quot;,&quot;Section&quot;:1,&quot;Top&quot;:0.0,&quot;Left&quot;:0.0}" style="position:absolute;margin-left:0;margin-top:558.75pt;width:841.9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" o:allowincell="f" filled="f" stroked="f" strokeweight=".5pt">
                    <v:textbox inset=",0,,0">
                      <w:txbxContent>
                        <w:p w14:paraId="049A00C1" w14:textId="7EA575DB" w:rsidR="005F7F6C" w:rsidRPr="005F7F6C" w:rsidRDefault="005F7F6C" w:rsidP="005F7F6C">
                          <w:pPr>
                            <w:spacing w:before="0" w:after="0"/>
                            <w:jc w:val="center"/>
                            <w:rPr>
                              <w:rFonts w:ascii="Calibri" w:hAnsi="Calibri" w:cs="Calibri"/>
                              <w:color w:val="FF0000"/>
                            </w:rPr>
                          </w:pPr>
                          <w:r w:rsidRPr="005F7F6C">
                            <w:rPr>
                              <w:rFonts w:ascii="Calibri" w:hAnsi="Calibri" w:cs="Calibri"/>
                              <w:color w:val="FF0000"/>
                            </w:rPr>
                            <w:t>DCC Controlled</w:t>
                          </w:r>
                        </w:p>
                      </w:txbxContent>
                    </v:textbox>
                    <w10:wrap anchorx="page" anchory="page"/>
                  </v:shape>
                </w:pict>
              </mc:Fallback>
            </mc:AlternateContent>
          </w:r>
          <w:r w:rsidR="00DA6039">
            <w:rPr>
              <w:noProof/>
              <w:sz w:val="20"/>
              <w:szCs w:val="20"/>
            </w:rPr>
            <w:t>DP218 Request fo</w:t>
          </w:r>
          <w:r w:rsidR="008D67C5">
            <w:rPr>
              <w:noProof/>
              <w:sz w:val="20"/>
              <w:szCs w:val="20"/>
            </w:rPr>
            <w:t>r</w:t>
          </w:r>
          <w:r w:rsidR="00DA6039">
            <w:rPr>
              <w:noProof/>
              <w:sz w:val="20"/>
              <w:szCs w:val="20"/>
            </w:rPr>
            <w:t xml:space="preserve"> Information</w:t>
          </w:r>
          <w:r w:rsidR="004D59CB">
            <w:rPr>
              <w:sz w:val="20"/>
              <w:szCs w:val="20"/>
            </w:rPr>
            <w:t xml:space="preserve"> </w:t>
          </w:r>
        </w:p>
        <w:p w14:paraId="2DEE08F5" w14:textId="4C79996C" w:rsidR="00E34ABA" w:rsidRDefault="004D59CB" w:rsidP="00F37854">
          <w:pPr>
            <w:pStyle w:val="Footer"/>
            <w:rPr>
              <w:sz w:val="20"/>
              <w:szCs w:val="20"/>
            </w:rPr>
          </w:pPr>
          <w:r>
            <w:rPr>
              <w:sz w:val="20"/>
              <w:szCs w:val="20"/>
            </w:rPr>
            <w:t>Response Template</w:t>
          </w:r>
        </w:p>
      </w:tc>
      <w:tc>
        <w:tcPr>
          <w:tcW w:w="1666" w:type="pct"/>
        </w:tcPr>
        <w:p w14:paraId="1FDA7819" w14:textId="6B89DF94" w:rsidR="00E34ABA" w:rsidRDefault="00A8498E" w:rsidP="002B6D09">
          <w:pPr>
            <w:pStyle w:val="Footer"/>
            <w:jc w:val="center"/>
            <w:rPr>
              <w:sz w:val="20"/>
              <w:szCs w:val="20"/>
            </w:rPr>
          </w:pPr>
          <w:r>
            <w:rPr>
              <w:sz w:val="20"/>
              <w:szCs w:val="20"/>
            </w:rPr>
            <w:fldChar w:fldCharType="begin"/>
          </w:r>
          <w:r>
            <w:rPr>
              <w:sz w:val="20"/>
              <w:szCs w:val="20"/>
            </w:rPr>
            <w:instrText xml:space="preserve"> REF Classification \h  \* MERGEFORMAT </w:instrText>
          </w:r>
          <w:r>
            <w:rPr>
              <w:sz w:val="20"/>
              <w:szCs w:val="20"/>
            </w:rPr>
          </w:r>
          <w:r>
            <w:rPr>
              <w:sz w:val="20"/>
              <w:szCs w:val="20"/>
            </w:rPr>
            <w:fldChar w:fldCharType="separate"/>
          </w:r>
          <w:r w:rsidRPr="00967ED8">
            <w:t xml:space="preserve">DCC </w:t>
          </w:r>
          <w:r>
            <w:rPr>
              <w:sz w:val="20"/>
              <w:szCs w:val="20"/>
            </w:rPr>
            <w:fldChar w:fldCharType="end"/>
          </w:r>
          <w:r w:rsidR="00884584">
            <w:rPr>
              <w:sz w:val="20"/>
              <w:szCs w:val="20"/>
            </w:rPr>
            <w:t>PUBLIC</w:t>
          </w:r>
        </w:p>
      </w:tc>
      <w:tc>
        <w:tcPr>
          <w:tcW w:w="1667" w:type="pct"/>
        </w:tcPr>
        <w:p w14:paraId="1B3E0970" w14:textId="4E59B893" w:rsidR="00E34ABA" w:rsidRPr="00F8524C" w:rsidRDefault="00E34ABA" w:rsidP="00F37854">
          <w:pPr>
            <w:pStyle w:val="Footer"/>
            <w:jc w:val="right"/>
            <w:rPr>
              <w:sz w:val="20"/>
              <w:szCs w:val="20"/>
            </w:rPr>
          </w:pPr>
          <w:r w:rsidRPr="00F8524C">
            <w:rPr>
              <w:sz w:val="20"/>
              <w:szCs w:val="20"/>
            </w:rPr>
            <w:t xml:space="preserve">Page </w:t>
          </w:r>
          <w:r w:rsidRPr="00F8524C">
            <w:rPr>
              <w:bCs/>
              <w:sz w:val="20"/>
              <w:szCs w:val="20"/>
            </w:rPr>
            <w:fldChar w:fldCharType="begin"/>
          </w:r>
          <w:r w:rsidRPr="00F8524C">
            <w:rPr>
              <w:bCs/>
              <w:sz w:val="20"/>
              <w:szCs w:val="20"/>
            </w:rPr>
            <w:instrText xml:space="preserve"> PAGE </w:instrText>
          </w:r>
          <w:r w:rsidRPr="00F8524C">
            <w:rPr>
              <w:bCs/>
              <w:sz w:val="20"/>
              <w:szCs w:val="20"/>
            </w:rPr>
            <w:fldChar w:fldCharType="separate"/>
          </w:r>
          <w:r w:rsidR="009711E6">
            <w:rPr>
              <w:bCs/>
              <w:noProof/>
              <w:sz w:val="20"/>
              <w:szCs w:val="20"/>
            </w:rPr>
            <w:t>10</w:t>
          </w:r>
          <w:r w:rsidRPr="00F8524C">
            <w:rPr>
              <w:bCs/>
              <w:sz w:val="20"/>
              <w:szCs w:val="20"/>
            </w:rPr>
            <w:fldChar w:fldCharType="end"/>
          </w:r>
          <w:r w:rsidRPr="00F8524C">
            <w:rPr>
              <w:sz w:val="20"/>
              <w:szCs w:val="20"/>
            </w:rPr>
            <w:t xml:space="preserve"> of </w:t>
          </w:r>
          <w:r w:rsidRPr="00F8524C">
            <w:rPr>
              <w:bCs/>
              <w:sz w:val="20"/>
              <w:szCs w:val="20"/>
            </w:rPr>
            <w:fldChar w:fldCharType="begin"/>
          </w:r>
          <w:r w:rsidRPr="00F8524C">
            <w:rPr>
              <w:bCs/>
              <w:sz w:val="20"/>
              <w:szCs w:val="20"/>
            </w:rPr>
            <w:instrText xml:space="preserve"> NUMPAGES  </w:instrText>
          </w:r>
          <w:r w:rsidRPr="00F8524C">
            <w:rPr>
              <w:bCs/>
              <w:sz w:val="20"/>
              <w:szCs w:val="20"/>
            </w:rPr>
            <w:fldChar w:fldCharType="separate"/>
          </w:r>
          <w:r w:rsidR="009711E6">
            <w:rPr>
              <w:bCs/>
              <w:noProof/>
              <w:sz w:val="20"/>
              <w:szCs w:val="20"/>
            </w:rPr>
            <w:t>16</w:t>
          </w:r>
          <w:r w:rsidRPr="00F8524C">
            <w:rPr>
              <w:bCs/>
              <w:sz w:val="20"/>
              <w:szCs w:val="20"/>
            </w:rPr>
            <w:fldChar w:fldCharType="end"/>
          </w:r>
        </w:p>
      </w:tc>
    </w:tr>
  </w:tbl>
  <w:p w14:paraId="3CE735CB" w14:textId="77777777" w:rsidR="00E34ABA" w:rsidRPr="00B83C3C" w:rsidRDefault="00E34ABA" w:rsidP="00F37854">
    <w:pPr>
      <w:pStyle w:val="Footer"/>
      <w:jc w:val="both"/>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0BA4B" w14:textId="77777777" w:rsidR="00681D59" w:rsidRDefault="00681D59" w:rsidP="00FA568E">
      <w:pPr>
        <w:spacing w:after="0"/>
      </w:pPr>
      <w:r>
        <w:separator/>
      </w:r>
    </w:p>
  </w:footnote>
  <w:footnote w:type="continuationSeparator" w:id="0">
    <w:p w14:paraId="5C6E5D4E" w14:textId="77777777" w:rsidR="00681D59" w:rsidRDefault="00681D59" w:rsidP="00FA568E">
      <w:pPr>
        <w:spacing w:after="0"/>
      </w:pPr>
      <w:r>
        <w:continuationSeparator/>
      </w:r>
    </w:p>
  </w:footnote>
  <w:footnote w:type="continuationNotice" w:id="1">
    <w:p w14:paraId="08762F43" w14:textId="77777777" w:rsidR="00681D59" w:rsidRDefault="00681D5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282D1" w14:textId="7CEA6EDC" w:rsidR="0052508C" w:rsidRPr="00B56577" w:rsidRDefault="0052508C" w:rsidP="0052508C">
    <w:pPr>
      <w:pStyle w:val="DocumentControlHeading"/>
      <w:rPr>
        <w:rFonts w:ascii="Lato" w:hAnsi="Lato"/>
      </w:rPr>
    </w:pPr>
    <w:r w:rsidRPr="00B56577">
      <w:rPr>
        <w:rFonts w:ascii="Lato" w:hAnsi="Lato"/>
      </w:rPr>
      <w:t>Response to</w:t>
    </w:r>
    <w:r w:rsidR="00201D17" w:rsidRPr="00B56577">
      <w:rPr>
        <w:rFonts w:ascii="Lato" w:hAnsi="Lato"/>
      </w:rPr>
      <w:t xml:space="preserve"> </w:t>
    </w:r>
    <w:r w:rsidR="00DA6039" w:rsidRPr="00DA6039">
      <w:rPr>
        <w:rFonts w:ascii="Lato" w:hAnsi="Lato"/>
      </w:rPr>
      <w:t>DP218 ‘Review of the SEC Charging Methodology’</w:t>
    </w:r>
    <w:r w:rsidR="00DA6039">
      <w:rPr>
        <w:rFonts w:ascii="Lato" w:hAnsi="Lato"/>
      </w:rPr>
      <w:t xml:space="preserve"> </w:t>
    </w:r>
    <w:r w:rsidR="009A718D">
      <w:rPr>
        <w:rFonts w:ascii="Lato" w:hAnsi="Lato"/>
      </w:rPr>
      <w:t>RFI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BBE77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pStyle w:val="Heading9"/>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236130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3EEEB7E"/>
    <w:lvl w:ilvl="0">
      <w:start w:val="1"/>
      <w:numFmt w:val="decimal"/>
      <w:pStyle w:val="ListNumber4"/>
      <w:lvlText w:val="%1."/>
      <w:lvlJc w:val="left"/>
      <w:pPr>
        <w:tabs>
          <w:tab w:val="num" w:pos="1209"/>
        </w:tabs>
        <w:ind w:left="1209" w:hanging="360"/>
      </w:pPr>
    </w:lvl>
  </w:abstractNum>
  <w:abstractNum w:abstractNumId="3" w15:restartNumberingAfterBreak="0">
    <w:nsid w:val="001F5466"/>
    <w:multiLevelType w:val="hybridMultilevel"/>
    <w:tmpl w:val="3ABCA62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3F7602"/>
    <w:multiLevelType w:val="hybridMultilevel"/>
    <w:tmpl w:val="073866DC"/>
    <w:lvl w:ilvl="0" w:tplc="7EF610F4">
      <w:start w:val="1"/>
      <w:numFmt w:val="bullet"/>
      <w:pStyle w:val="CaseStudyQuoteBullets"/>
      <w:lvlText w:val=""/>
      <w:lvlJc w:val="left"/>
      <w:pPr>
        <w:ind w:left="360" w:hanging="360"/>
      </w:pPr>
      <w:rPr>
        <w:rFonts w:ascii="Wingdings" w:hAnsi="Wingdings" w:hint="default"/>
        <w:b w:val="0"/>
        <w:bCs w:val="0"/>
        <w:i w:val="0"/>
        <w:iCs w:val="0"/>
        <w:color w:val="auto"/>
        <w:sz w:val="28"/>
        <w:szCs w:val="28"/>
      </w:rPr>
    </w:lvl>
    <w:lvl w:ilvl="1" w:tplc="FFC82C90">
      <w:start w:val="1"/>
      <w:numFmt w:val="bullet"/>
      <w:lvlText w:val="o"/>
      <w:lvlJc w:val="left"/>
      <w:pPr>
        <w:ind w:left="1440" w:hanging="360"/>
      </w:pPr>
      <w:rPr>
        <w:rFonts w:ascii="Courier New" w:hAnsi="Courier New" w:hint="default"/>
      </w:rPr>
    </w:lvl>
    <w:lvl w:ilvl="2" w:tplc="FA6829DC" w:tentative="1">
      <w:start w:val="1"/>
      <w:numFmt w:val="bullet"/>
      <w:lvlText w:val=""/>
      <w:lvlJc w:val="left"/>
      <w:pPr>
        <w:ind w:left="2160" w:hanging="360"/>
      </w:pPr>
      <w:rPr>
        <w:rFonts w:ascii="Wingdings" w:hAnsi="Wingdings" w:hint="default"/>
      </w:rPr>
    </w:lvl>
    <w:lvl w:ilvl="3" w:tplc="49E2ED40" w:tentative="1">
      <w:start w:val="1"/>
      <w:numFmt w:val="bullet"/>
      <w:lvlText w:val=""/>
      <w:lvlJc w:val="left"/>
      <w:pPr>
        <w:ind w:left="2880" w:hanging="360"/>
      </w:pPr>
      <w:rPr>
        <w:rFonts w:ascii="Symbol" w:hAnsi="Symbol" w:hint="default"/>
      </w:rPr>
    </w:lvl>
    <w:lvl w:ilvl="4" w:tplc="48C66B2A" w:tentative="1">
      <w:start w:val="1"/>
      <w:numFmt w:val="bullet"/>
      <w:lvlText w:val="o"/>
      <w:lvlJc w:val="left"/>
      <w:pPr>
        <w:ind w:left="3600" w:hanging="360"/>
      </w:pPr>
      <w:rPr>
        <w:rFonts w:ascii="Courier New" w:hAnsi="Courier New" w:hint="default"/>
      </w:rPr>
    </w:lvl>
    <w:lvl w:ilvl="5" w:tplc="8D8CBA3E" w:tentative="1">
      <w:start w:val="1"/>
      <w:numFmt w:val="bullet"/>
      <w:lvlText w:val=""/>
      <w:lvlJc w:val="left"/>
      <w:pPr>
        <w:ind w:left="4320" w:hanging="360"/>
      </w:pPr>
      <w:rPr>
        <w:rFonts w:ascii="Wingdings" w:hAnsi="Wingdings" w:hint="default"/>
      </w:rPr>
    </w:lvl>
    <w:lvl w:ilvl="6" w:tplc="61405850" w:tentative="1">
      <w:start w:val="1"/>
      <w:numFmt w:val="bullet"/>
      <w:lvlText w:val=""/>
      <w:lvlJc w:val="left"/>
      <w:pPr>
        <w:ind w:left="5040" w:hanging="360"/>
      </w:pPr>
      <w:rPr>
        <w:rFonts w:ascii="Symbol" w:hAnsi="Symbol" w:hint="default"/>
      </w:rPr>
    </w:lvl>
    <w:lvl w:ilvl="7" w:tplc="56AC94DC" w:tentative="1">
      <w:start w:val="1"/>
      <w:numFmt w:val="bullet"/>
      <w:lvlText w:val="o"/>
      <w:lvlJc w:val="left"/>
      <w:pPr>
        <w:ind w:left="5760" w:hanging="360"/>
      </w:pPr>
      <w:rPr>
        <w:rFonts w:ascii="Courier New" w:hAnsi="Courier New" w:hint="default"/>
      </w:rPr>
    </w:lvl>
    <w:lvl w:ilvl="8" w:tplc="5C96835E" w:tentative="1">
      <w:start w:val="1"/>
      <w:numFmt w:val="bullet"/>
      <w:lvlText w:val=""/>
      <w:lvlJc w:val="left"/>
      <w:pPr>
        <w:ind w:left="6480" w:hanging="360"/>
      </w:pPr>
      <w:rPr>
        <w:rFonts w:ascii="Wingdings" w:hAnsi="Wingdings" w:hint="default"/>
      </w:rPr>
    </w:lvl>
  </w:abstractNum>
  <w:abstractNum w:abstractNumId="5" w15:restartNumberingAfterBreak="0">
    <w:nsid w:val="08C819DC"/>
    <w:multiLevelType w:val="hybridMultilevel"/>
    <w:tmpl w:val="6FCC5006"/>
    <w:lvl w:ilvl="0" w:tplc="729E8B0A">
      <w:start w:val="1"/>
      <w:numFmt w:val="bullet"/>
      <w:lvlText w:val=""/>
      <w:lvlJc w:val="left"/>
      <w:pPr>
        <w:tabs>
          <w:tab w:val="num" w:pos="720"/>
        </w:tabs>
        <w:ind w:left="720" w:hanging="360"/>
      </w:pPr>
      <w:rPr>
        <w:rFonts w:ascii="Wingdings" w:hAnsi="Wingdings" w:hint="default"/>
      </w:rPr>
    </w:lvl>
    <w:lvl w:ilvl="1" w:tplc="9224F94A" w:tentative="1">
      <w:start w:val="1"/>
      <w:numFmt w:val="bullet"/>
      <w:lvlText w:val=""/>
      <w:lvlJc w:val="left"/>
      <w:pPr>
        <w:tabs>
          <w:tab w:val="num" w:pos="1440"/>
        </w:tabs>
        <w:ind w:left="1440" w:hanging="360"/>
      </w:pPr>
      <w:rPr>
        <w:rFonts w:ascii="Wingdings" w:hAnsi="Wingdings" w:hint="default"/>
      </w:rPr>
    </w:lvl>
    <w:lvl w:ilvl="2" w:tplc="3C668806" w:tentative="1">
      <w:start w:val="1"/>
      <w:numFmt w:val="bullet"/>
      <w:lvlText w:val=""/>
      <w:lvlJc w:val="left"/>
      <w:pPr>
        <w:tabs>
          <w:tab w:val="num" w:pos="2160"/>
        </w:tabs>
        <w:ind w:left="2160" w:hanging="360"/>
      </w:pPr>
      <w:rPr>
        <w:rFonts w:ascii="Wingdings" w:hAnsi="Wingdings" w:hint="default"/>
      </w:rPr>
    </w:lvl>
    <w:lvl w:ilvl="3" w:tplc="E40EA7D0" w:tentative="1">
      <w:start w:val="1"/>
      <w:numFmt w:val="bullet"/>
      <w:lvlText w:val=""/>
      <w:lvlJc w:val="left"/>
      <w:pPr>
        <w:tabs>
          <w:tab w:val="num" w:pos="2880"/>
        </w:tabs>
        <w:ind w:left="2880" w:hanging="360"/>
      </w:pPr>
      <w:rPr>
        <w:rFonts w:ascii="Wingdings" w:hAnsi="Wingdings" w:hint="default"/>
      </w:rPr>
    </w:lvl>
    <w:lvl w:ilvl="4" w:tplc="48544334" w:tentative="1">
      <w:start w:val="1"/>
      <w:numFmt w:val="bullet"/>
      <w:lvlText w:val=""/>
      <w:lvlJc w:val="left"/>
      <w:pPr>
        <w:tabs>
          <w:tab w:val="num" w:pos="3600"/>
        </w:tabs>
        <w:ind w:left="3600" w:hanging="360"/>
      </w:pPr>
      <w:rPr>
        <w:rFonts w:ascii="Wingdings" w:hAnsi="Wingdings" w:hint="default"/>
      </w:rPr>
    </w:lvl>
    <w:lvl w:ilvl="5" w:tplc="B1A6BE3C" w:tentative="1">
      <w:start w:val="1"/>
      <w:numFmt w:val="bullet"/>
      <w:lvlText w:val=""/>
      <w:lvlJc w:val="left"/>
      <w:pPr>
        <w:tabs>
          <w:tab w:val="num" w:pos="4320"/>
        </w:tabs>
        <w:ind w:left="4320" w:hanging="360"/>
      </w:pPr>
      <w:rPr>
        <w:rFonts w:ascii="Wingdings" w:hAnsi="Wingdings" w:hint="default"/>
      </w:rPr>
    </w:lvl>
    <w:lvl w:ilvl="6" w:tplc="B0986B9A" w:tentative="1">
      <w:start w:val="1"/>
      <w:numFmt w:val="bullet"/>
      <w:lvlText w:val=""/>
      <w:lvlJc w:val="left"/>
      <w:pPr>
        <w:tabs>
          <w:tab w:val="num" w:pos="5040"/>
        </w:tabs>
        <w:ind w:left="5040" w:hanging="360"/>
      </w:pPr>
      <w:rPr>
        <w:rFonts w:ascii="Wingdings" w:hAnsi="Wingdings" w:hint="default"/>
      </w:rPr>
    </w:lvl>
    <w:lvl w:ilvl="7" w:tplc="73DC33AA" w:tentative="1">
      <w:start w:val="1"/>
      <w:numFmt w:val="bullet"/>
      <w:lvlText w:val=""/>
      <w:lvlJc w:val="left"/>
      <w:pPr>
        <w:tabs>
          <w:tab w:val="num" w:pos="5760"/>
        </w:tabs>
        <w:ind w:left="5760" w:hanging="360"/>
      </w:pPr>
      <w:rPr>
        <w:rFonts w:ascii="Wingdings" w:hAnsi="Wingdings" w:hint="default"/>
      </w:rPr>
    </w:lvl>
    <w:lvl w:ilvl="8" w:tplc="89227B8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96DB1"/>
    <w:multiLevelType w:val="hybridMultilevel"/>
    <w:tmpl w:val="3270572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73D41CC"/>
    <w:multiLevelType w:val="multilevel"/>
    <w:tmpl w:val="C5C485AE"/>
    <w:lvl w:ilvl="0">
      <w:start w:val="1"/>
      <w:numFmt w:val="lowerLetter"/>
      <w:pStyle w:val="ListLettering"/>
      <w:lvlText w:val="%1."/>
      <w:lvlJc w:val="left"/>
      <w:pPr>
        <w:ind w:left="1211" w:hanging="360"/>
      </w:pPr>
      <w:rPr>
        <w:rFonts w:hint="default"/>
        <w:b w:val="0"/>
        <w:bCs w:val="0"/>
        <w:i w:val="0"/>
        <w:iCs w:val="0"/>
        <w:color w:val="auto"/>
        <w:sz w:val="22"/>
        <w:szCs w:val="22"/>
      </w:rPr>
    </w:lvl>
    <w:lvl w:ilvl="1">
      <w:start w:val="1"/>
      <w:numFmt w:val="none"/>
      <w:suff w:val="nothing"/>
      <w:lvlText w:val=""/>
      <w:lvlJc w:val="left"/>
      <w:pPr>
        <w:ind w:left="-397" w:firstLine="0"/>
      </w:pPr>
      <w:rPr>
        <w:rFonts w:hint="default"/>
      </w:rPr>
    </w:lvl>
    <w:lvl w:ilvl="2">
      <w:start w:val="1"/>
      <w:numFmt w:val="none"/>
      <w:suff w:val="nothing"/>
      <w:lvlText w:val=""/>
      <w:lvlJc w:val="left"/>
      <w:pPr>
        <w:ind w:left="-397" w:firstLine="0"/>
      </w:pPr>
      <w:rPr>
        <w:rFonts w:hint="default"/>
      </w:rPr>
    </w:lvl>
    <w:lvl w:ilvl="3">
      <w:start w:val="1"/>
      <w:numFmt w:val="none"/>
      <w:suff w:val="nothing"/>
      <w:lvlText w:val=""/>
      <w:lvlJc w:val="left"/>
      <w:pPr>
        <w:ind w:left="-397" w:firstLine="0"/>
      </w:pPr>
      <w:rPr>
        <w:rFonts w:hint="default"/>
      </w:rPr>
    </w:lvl>
    <w:lvl w:ilvl="4">
      <w:start w:val="1"/>
      <w:numFmt w:val="none"/>
      <w:suff w:val="nothing"/>
      <w:lvlText w:val=""/>
      <w:lvlJc w:val="left"/>
      <w:pPr>
        <w:ind w:left="-397" w:firstLine="0"/>
      </w:pPr>
      <w:rPr>
        <w:rFonts w:hint="default"/>
      </w:rPr>
    </w:lvl>
    <w:lvl w:ilvl="5">
      <w:start w:val="1"/>
      <w:numFmt w:val="none"/>
      <w:suff w:val="nothing"/>
      <w:lvlText w:val=""/>
      <w:lvlJc w:val="left"/>
      <w:pPr>
        <w:ind w:left="-397" w:firstLine="0"/>
      </w:pPr>
      <w:rPr>
        <w:rFonts w:hint="default"/>
      </w:rPr>
    </w:lvl>
    <w:lvl w:ilvl="6">
      <w:start w:val="1"/>
      <w:numFmt w:val="none"/>
      <w:suff w:val="nothing"/>
      <w:lvlText w:val=""/>
      <w:lvlJc w:val="left"/>
      <w:pPr>
        <w:ind w:left="-397" w:firstLine="0"/>
      </w:pPr>
      <w:rPr>
        <w:rFonts w:hint="default"/>
      </w:rPr>
    </w:lvl>
    <w:lvl w:ilvl="7">
      <w:start w:val="1"/>
      <w:numFmt w:val="none"/>
      <w:suff w:val="nothing"/>
      <w:lvlText w:val=""/>
      <w:lvlJc w:val="left"/>
      <w:pPr>
        <w:ind w:left="-397" w:firstLine="0"/>
      </w:pPr>
      <w:rPr>
        <w:rFonts w:hint="default"/>
      </w:rPr>
    </w:lvl>
    <w:lvl w:ilvl="8">
      <w:start w:val="1"/>
      <w:numFmt w:val="none"/>
      <w:suff w:val="nothing"/>
      <w:lvlText w:val=""/>
      <w:lvlJc w:val="left"/>
      <w:pPr>
        <w:ind w:left="-397" w:firstLine="0"/>
      </w:pPr>
      <w:rPr>
        <w:rFonts w:hint="default"/>
      </w:rPr>
    </w:lvl>
  </w:abstractNum>
  <w:abstractNum w:abstractNumId="8" w15:restartNumberingAfterBreak="0">
    <w:nsid w:val="1A0D1E0E"/>
    <w:multiLevelType w:val="hybridMultilevel"/>
    <w:tmpl w:val="6360DDA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114696"/>
    <w:multiLevelType w:val="hybridMultilevel"/>
    <w:tmpl w:val="73028984"/>
    <w:lvl w:ilvl="0" w:tplc="08090005">
      <w:start w:val="1"/>
      <w:numFmt w:val="bullet"/>
      <w:lvlText w:val=""/>
      <w:lvlJc w:val="left"/>
      <w:pPr>
        <w:ind w:left="783" w:hanging="360"/>
      </w:pPr>
      <w:rPr>
        <w:rFonts w:ascii="Wingdings" w:hAnsi="Wingdings"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0" w15:restartNumberingAfterBreak="0">
    <w:nsid w:val="27CF6309"/>
    <w:multiLevelType w:val="multilevel"/>
    <w:tmpl w:val="EC5E9312"/>
    <w:lvl w:ilvl="0">
      <w:start w:val="1"/>
      <w:numFmt w:val="decimal"/>
      <w:pStyle w:val="ListNumber"/>
      <w:lvlText w:val="%1."/>
      <w:lvlJc w:val="left"/>
      <w:pPr>
        <w:tabs>
          <w:tab w:val="num" w:pos="248"/>
        </w:tabs>
        <w:ind w:left="589" w:hanging="851"/>
      </w:pPr>
      <w:rPr>
        <w:rFonts w:hint="default"/>
        <w:b/>
        <w:color w:val="auto"/>
        <w:sz w:val="22"/>
        <w:szCs w:val="22"/>
      </w:rPr>
    </w:lvl>
    <w:lvl w:ilvl="1">
      <w:start w:val="1"/>
      <w:numFmt w:val="decimal"/>
      <w:pStyle w:val="ListNumber2"/>
      <w:lvlText w:val="%1.%2."/>
      <w:lvlJc w:val="left"/>
      <w:pPr>
        <w:tabs>
          <w:tab w:val="num" w:pos="589"/>
        </w:tabs>
        <w:ind w:left="1439" w:hanging="850"/>
      </w:pPr>
      <w:rPr>
        <w:rFonts w:hint="default"/>
        <w:color w:val="auto"/>
        <w:sz w:val="22"/>
        <w:szCs w:val="22"/>
      </w:rPr>
    </w:lvl>
    <w:lvl w:ilvl="2">
      <w:start w:val="1"/>
      <w:numFmt w:val="decimal"/>
      <w:pStyle w:val="ListNumber3"/>
      <w:lvlText w:val="%1.%2.%3."/>
      <w:lvlJc w:val="left"/>
      <w:pPr>
        <w:tabs>
          <w:tab w:val="num" w:pos="-31680"/>
        </w:tabs>
        <w:ind w:left="2290" w:hanging="851"/>
      </w:pPr>
      <w:rPr>
        <w:rFonts w:hint="default"/>
        <w:color w:val="auto"/>
      </w:rPr>
    </w:lvl>
    <w:lvl w:ilvl="3">
      <w:start w:val="1"/>
      <w:numFmt w:val="decimal"/>
      <w:lvlText w:val="%1.%2.%3.%4."/>
      <w:lvlJc w:val="left"/>
      <w:pPr>
        <w:ind w:left="689" w:hanging="648"/>
      </w:pPr>
      <w:rPr>
        <w:rFonts w:hint="default"/>
      </w:rPr>
    </w:lvl>
    <w:lvl w:ilvl="4">
      <w:start w:val="1"/>
      <w:numFmt w:val="decimal"/>
      <w:lvlText w:val="%1.%2.%3.%4.%5."/>
      <w:lvlJc w:val="left"/>
      <w:pPr>
        <w:ind w:left="1193" w:hanging="792"/>
      </w:pPr>
      <w:rPr>
        <w:rFonts w:hint="default"/>
      </w:rPr>
    </w:lvl>
    <w:lvl w:ilvl="5">
      <w:start w:val="1"/>
      <w:numFmt w:val="decimal"/>
      <w:lvlText w:val="%1.%2.%3.%4.%5.%6."/>
      <w:lvlJc w:val="left"/>
      <w:pPr>
        <w:ind w:left="1697" w:hanging="936"/>
      </w:pPr>
      <w:rPr>
        <w:rFonts w:hint="default"/>
      </w:rPr>
    </w:lvl>
    <w:lvl w:ilvl="6">
      <w:start w:val="1"/>
      <w:numFmt w:val="decimal"/>
      <w:lvlText w:val="%1.%2.%3.%4.%5.%6.%7."/>
      <w:lvlJc w:val="left"/>
      <w:pPr>
        <w:ind w:left="2201" w:hanging="1080"/>
      </w:pPr>
      <w:rPr>
        <w:rFonts w:hint="default"/>
      </w:rPr>
    </w:lvl>
    <w:lvl w:ilvl="7">
      <w:start w:val="1"/>
      <w:numFmt w:val="decimal"/>
      <w:lvlText w:val="%1.%2.%3.%4.%5.%6.%7.%8."/>
      <w:lvlJc w:val="left"/>
      <w:pPr>
        <w:ind w:left="2705" w:hanging="1224"/>
      </w:pPr>
      <w:rPr>
        <w:rFonts w:hint="default"/>
      </w:rPr>
    </w:lvl>
    <w:lvl w:ilvl="8">
      <w:start w:val="1"/>
      <w:numFmt w:val="decimal"/>
      <w:lvlText w:val="%1.%2.%3.%4.%5.%6.%7.%8.%9."/>
      <w:lvlJc w:val="left"/>
      <w:pPr>
        <w:ind w:left="3281" w:hanging="1440"/>
      </w:pPr>
      <w:rPr>
        <w:rFonts w:hint="default"/>
      </w:rPr>
    </w:lvl>
  </w:abstractNum>
  <w:abstractNum w:abstractNumId="11" w15:restartNumberingAfterBreak="0">
    <w:nsid w:val="2C4757CA"/>
    <w:multiLevelType w:val="hybridMultilevel"/>
    <w:tmpl w:val="5AD28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2510E6"/>
    <w:multiLevelType w:val="multilevel"/>
    <w:tmpl w:val="64B038FC"/>
    <w:lvl w:ilvl="0">
      <w:start w:val="1"/>
      <w:numFmt w:val="bullet"/>
      <w:pStyle w:val="TableBullet1"/>
      <w:lvlText w:val=""/>
      <w:lvlJc w:val="left"/>
      <w:pPr>
        <w:tabs>
          <w:tab w:val="num" w:pos="397"/>
        </w:tabs>
        <w:ind w:left="284" w:hanging="284"/>
      </w:pPr>
      <w:rPr>
        <w:rFonts w:ascii="Wingdings" w:hAnsi="Wingdings" w:hint="default"/>
        <w:b w:val="0"/>
        <w:bCs w:val="0"/>
        <w:i w:val="0"/>
        <w:iCs w:val="0"/>
        <w:color w:val="auto"/>
        <w:sz w:val="28"/>
        <w:szCs w:val="28"/>
      </w:rPr>
    </w:lvl>
    <w:lvl w:ilvl="1">
      <w:start w:val="1"/>
      <w:numFmt w:val="bullet"/>
      <w:pStyle w:val="TableBullet2"/>
      <w:lvlText w:val=""/>
      <w:lvlJc w:val="left"/>
      <w:pPr>
        <w:ind w:left="851" w:hanging="511"/>
      </w:pPr>
      <w:rPr>
        <w:rFonts w:ascii="Wingdings" w:hAnsi="Wingdings"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414AB"/>
    <w:multiLevelType w:val="hybridMultilevel"/>
    <w:tmpl w:val="3416BD3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8A67A2"/>
    <w:multiLevelType w:val="multilevel"/>
    <w:tmpl w:val="EA4AB698"/>
    <w:lvl w:ilvl="0">
      <w:start w:val="1"/>
      <w:numFmt w:val="decimal"/>
      <w:pStyle w:val="ParagraphNumbering"/>
      <w:lvlText w:val="%1."/>
      <w:lvlJc w:val="left"/>
      <w:pPr>
        <w:tabs>
          <w:tab w:val="num" w:pos="0"/>
        </w:tabs>
        <w:ind w:left="0" w:hanging="567"/>
      </w:pPr>
      <w:rPr>
        <w:rFonts w:hint="default"/>
        <w:b/>
        <w:bCs/>
        <w:i w:val="0"/>
        <w:iCs w:val="0"/>
        <w:color w:val="auto"/>
        <w:sz w:val="16"/>
        <w:szCs w:val="16"/>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18D3268"/>
    <w:multiLevelType w:val="multilevel"/>
    <w:tmpl w:val="50123644"/>
    <w:lvl w:ilvl="0">
      <w:start w:val="1"/>
      <w:numFmt w:val="bullet"/>
      <w:pStyle w:val="ListBullet"/>
      <w:lvlText w:val=""/>
      <w:lvlJc w:val="left"/>
      <w:pPr>
        <w:ind w:left="567" w:hanging="567"/>
      </w:pPr>
      <w:rPr>
        <w:rFonts w:ascii="Wingdings" w:hAnsi="Wingdings" w:hint="default"/>
        <w:b w:val="0"/>
        <w:bCs w:val="0"/>
        <w:i w:val="0"/>
        <w:iCs w:val="0"/>
        <w:color w:val="auto"/>
        <w:sz w:val="28"/>
      </w:rPr>
    </w:lvl>
    <w:lvl w:ilvl="1">
      <w:start w:val="1"/>
      <w:numFmt w:val="bullet"/>
      <w:pStyle w:val="ListBullet2"/>
      <w:lvlText w:val=""/>
      <w:lvlJc w:val="left"/>
      <w:pPr>
        <w:ind w:left="1985" w:hanging="567"/>
      </w:pPr>
      <w:rPr>
        <w:rFonts w:ascii="Symbol" w:hAnsi="Symbol" w:hint="default"/>
        <w:color w:val="auto"/>
      </w:rPr>
    </w:lvl>
    <w:lvl w:ilvl="2">
      <w:start w:val="1"/>
      <w:numFmt w:val="bullet"/>
      <w:pStyle w:val="ListBullet3"/>
      <w:lvlText w:val="‒"/>
      <w:lvlJc w:val="left"/>
      <w:pPr>
        <w:ind w:left="2552" w:hanging="567"/>
      </w:pPr>
      <w:rPr>
        <w:rFonts w:ascii="Arial" w:hAnsi="Arial" w:hint="default"/>
        <w:color w:val="auto"/>
      </w:rPr>
    </w:lvl>
    <w:lvl w:ilvl="3">
      <w:start w:val="1"/>
      <w:numFmt w:val="lowerLetter"/>
      <w:pStyle w:val="ListBullet4"/>
      <w:lvlText w:val="%4."/>
      <w:lvlJc w:val="left"/>
      <w:pPr>
        <w:ind w:left="3119" w:hanging="567"/>
      </w:pPr>
      <w:rPr>
        <w:rFonts w:hint="default"/>
      </w:rPr>
    </w:lvl>
    <w:lvl w:ilvl="4">
      <w:start w:val="1"/>
      <w:numFmt w:val="lowerRoman"/>
      <w:pStyle w:val="ListBullet5"/>
      <w:lvlText w:val="%5."/>
      <w:lvlJc w:val="left"/>
      <w:pPr>
        <w:ind w:left="3119" w:hanging="567"/>
      </w:pPr>
      <w:rPr>
        <w:rFonts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3456175D"/>
    <w:multiLevelType w:val="hybridMultilevel"/>
    <w:tmpl w:val="17EAE72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9553C3"/>
    <w:multiLevelType w:val="hybridMultilevel"/>
    <w:tmpl w:val="6E7ABB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8F78A7"/>
    <w:multiLevelType w:val="hybridMultilevel"/>
    <w:tmpl w:val="C7C20B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6A2276"/>
    <w:multiLevelType w:val="multilevel"/>
    <w:tmpl w:val="9A509850"/>
    <w:styleLink w:val="Appendix"/>
    <w:lvl w:ilvl="0">
      <w:start w:val="1"/>
      <w:numFmt w:val="upperLetter"/>
      <w:lvlText w:val="Appendix %1 – "/>
      <w:lvlJc w:val="left"/>
      <w:pPr>
        <w:tabs>
          <w:tab w:val="num" w:pos="848"/>
        </w:tabs>
        <w:ind w:left="848" w:hanging="848"/>
      </w:pPr>
      <w:rPr>
        <w:rFonts w:ascii="Arial Bold" w:hAnsi="Arial Bold" w:hint="default"/>
        <w:b/>
        <w:i w:val="0"/>
        <w:caps w:val="0"/>
        <w:color w:val="1F144A" w:themeColor="text1"/>
        <w:sz w:val="36"/>
        <w:szCs w:val="32"/>
      </w:rPr>
    </w:lvl>
    <w:lvl w:ilvl="1">
      <w:start w:val="1"/>
      <w:numFmt w:val="decimal"/>
      <w:lvlText w:val="%1.%2"/>
      <w:lvlJc w:val="left"/>
      <w:pPr>
        <w:tabs>
          <w:tab w:val="num" w:pos="851"/>
        </w:tabs>
        <w:ind w:left="851" w:hanging="851"/>
      </w:pPr>
      <w:rPr>
        <w:rFonts w:ascii="Arial Bold" w:hAnsi="Arial Bold" w:hint="default"/>
        <w:b/>
        <w:bCs/>
        <w:i w:val="0"/>
        <w:iCs w:val="0"/>
        <w:caps w:val="0"/>
        <w:strike w:val="0"/>
        <w:dstrike w:val="0"/>
        <w:vanish w:val="0"/>
        <w:color w:val="1F144A" w:themeColor="text1"/>
        <w:spacing w:val="0"/>
        <w:kern w:val="0"/>
        <w:position w:val="0"/>
        <w:sz w:val="32"/>
        <w:szCs w:val="28"/>
        <w:u w:val="none"/>
        <w:vertAlign w:val="baseline"/>
        <w:em w:val="none"/>
      </w:rPr>
    </w:lvl>
    <w:lvl w:ilvl="2">
      <w:start w:val="1"/>
      <w:numFmt w:val="decimal"/>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8"/>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0" w15:restartNumberingAfterBreak="0">
    <w:nsid w:val="42C65D5A"/>
    <w:multiLevelType w:val="multilevel"/>
    <w:tmpl w:val="B27A6C94"/>
    <w:lvl w:ilvl="0">
      <w:start w:val="1"/>
      <w:numFmt w:val="decimal"/>
      <w:lvlText w:val="%1"/>
      <w:lvlJc w:val="left"/>
      <w:pPr>
        <w:tabs>
          <w:tab w:val="num" w:pos="848"/>
        </w:tabs>
        <w:ind w:left="848" w:hanging="848"/>
      </w:pPr>
      <w:rPr>
        <w:rFonts w:ascii="Arial Bold" w:hAnsi="Arial Bold" w:hint="default"/>
        <w:b/>
        <w:i w:val="0"/>
        <w:caps w:val="0"/>
        <w:color w:val="1F144A" w:themeColor="text1"/>
        <w:sz w:val="32"/>
        <w:szCs w:val="32"/>
      </w:rPr>
    </w:lvl>
    <w:lvl w:ilvl="1">
      <w:start w:val="1"/>
      <w:numFmt w:val="decimal"/>
      <w:lvlText w:val="%1.%2"/>
      <w:lvlJc w:val="left"/>
      <w:pPr>
        <w:tabs>
          <w:tab w:val="num" w:pos="1134"/>
        </w:tabs>
        <w:ind w:left="1134" w:hanging="851"/>
      </w:pPr>
      <w:rPr>
        <w:rFonts w:ascii="Arial Bold" w:hAnsi="Arial Bold" w:hint="default"/>
        <w:b/>
        <w:bCs/>
        <w:i w:val="0"/>
        <w:iCs w:val="0"/>
        <w:caps w:val="0"/>
        <w:strike w:val="0"/>
        <w:dstrike w:val="0"/>
        <w:vanish w:val="0"/>
        <w:color w:val="1F144A" w:themeColor="text1"/>
        <w:spacing w:val="0"/>
        <w:kern w:val="0"/>
        <w:position w:val="0"/>
        <w:sz w:val="28"/>
        <w:szCs w:val="28"/>
        <w:u w:val="none"/>
        <w:vertAlign w:val="baseline"/>
        <w:em w:val="none"/>
      </w:rPr>
    </w:lvl>
    <w:lvl w:ilvl="2">
      <w:start w:val="1"/>
      <w:numFmt w:val="decimal"/>
      <w:pStyle w:val="Heading3"/>
      <w:lvlText w:val="%1.%2.%3"/>
      <w:lvlJc w:val="left"/>
      <w:pPr>
        <w:tabs>
          <w:tab w:val="num" w:pos="848"/>
        </w:tabs>
        <w:ind w:left="848" w:hanging="848"/>
      </w:pPr>
      <w:rPr>
        <w:rFonts w:ascii="Arial Bold" w:hAnsi="Arial Bold" w:hint="default"/>
        <w:b/>
        <w:bCs/>
        <w:i w:val="0"/>
        <w:iCs w:val="0"/>
        <w:caps w:val="0"/>
        <w:smallCaps w:val="0"/>
        <w:strike w:val="0"/>
        <w:dstrike w:val="0"/>
        <w:vanish w:val="0"/>
        <w:color w:val="1F144A" w:themeColor="text1"/>
        <w:spacing w:val="0"/>
        <w:kern w:val="0"/>
        <w:position w:val="0"/>
        <w:sz w:val="26"/>
        <w:szCs w:val="26"/>
        <w:u w:val="none"/>
        <w:vertAlign w:val="baseline"/>
        <w:em w:val="none"/>
      </w:rPr>
    </w:lvl>
    <w:lvl w:ilvl="3">
      <w:start w:val="1"/>
      <w:numFmt w:val="decimal"/>
      <w:lvlText w:val="%1.%2.%3.%4"/>
      <w:lvlJc w:val="left"/>
      <w:pPr>
        <w:tabs>
          <w:tab w:val="num" w:pos="848"/>
        </w:tabs>
        <w:ind w:left="848" w:hanging="848"/>
      </w:pPr>
      <w:rPr>
        <w:rFonts w:ascii="Arial Bold" w:hAnsi="Arial Bold" w:cs="Arial" w:hint="default"/>
        <w:b/>
        <w:i w:val="0"/>
        <w:iCs w:val="0"/>
        <w:caps w:val="0"/>
        <w:strike w:val="0"/>
        <w:dstrike w:val="0"/>
        <w:vanish w:val="0"/>
        <w:color w:val="1F144A" w:themeColor="text1"/>
        <w:spacing w:val="0"/>
        <w:kern w:val="0"/>
        <w:position w:val="0"/>
        <w:sz w:val="28"/>
        <w:szCs w:val="24"/>
        <w:u w:val="none"/>
        <w:vertAlign w:val="baseline"/>
        <w:em w:val="none"/>
      </w:rPr>
    </w:lvl>
    <w:lvl w:ilvl="4">
      <w:start w:val="1"/>
      <w:numFmt w:val="decimal"/>
      <w:lvlText w:val="%1.%2.%3.%4.%5"/>
      <w:lvlJc w:val="left"/>
      <w:pPr>
        <w:tabs>
          <w:tab w:val="num" w:pos="1365"/>
        </w:tabs>
        <w:ind w:left="1365" w:hanging="1365"/>
      </w:pPr>
      <w:rPr>
        <w:rFonts w:ascii="Arial Bold" w:hAnsi="Arial Bold" w:cs="Arial" w:hint="default"/>
        <w:b/>
        <w:i w:val="0"/>
        <w:color w:val="29235C"/>
        <w:sz w:val="22"/>
        <w:szCs w:val="22"/>
        <w:u w:val="none"/>
      </w:rPr>
    </w:lvl>
    <w:lvl w:ilvl="5">
      <w:start w:val="1"/>
      <w:numFmt w:val="decimal"/>
      <w:lvlText w:val="%1.%2.%3.%4.%5.%6"/>
      <w:lvlJc w:val="left"/>
      <w:pPr>
        <w:tabs>
          <w:tab w:val="num" w:pos="1149"/>
        </w:tabs>
        <w:ind w:left="1149" w:hanging="1149"/>
      </w:pPr>
      <w:rPr>
        <w:rFonts w:hint="default"/>
        <w:u w:val="single"/>
      </w:rPr>
    </w:lvl>
    <w:lvl w:ilvl="6">
      <w:start w:val="1"/>
      <w:numFmt w:val="decimal"/>
      <w:lvlText w:val="%1.%2.%3.%4.%5.%6.%7"/>
      <w:lvlJc w:val="left"/>
      <w:pPr>
        <w:tabs>
          <w:tab w:val="num" w:pos="1293"/>
        </w:tabs>
        <w:ind w:left="1293" w:hanging="1293"/>
      </w:pPr>
      <w:rPr>
        <w:rFonts w:hint="default"/>
        <w:u w:val="single"/>
      </w:rPr>
    </w:lvl>
    <w:lvl w:ilvl="7">
      <w:start w:val="1"/>
      <w:numFmt w:val="decimal"/>
      <w:lvlText w:val="%1.%2.%3.%4.%5.%6.%7.%8"/>
      <w:lvlJc w:val="left"/>
      <w:pPr>
        <w:tabs>
          <w:tab w:val="num" w:pos="1437"/>
        </w:tabs>
        <w:ind w:left="1437" w:hanging="1437"/>
      </w:pPr>
      <w:rPr>
        <w:rFonts w:hint="default"/>
        <w:u w:val="single"/>
      </w:rPr>
    </w:lvl>
    <w:lvl w:ilvl="8">
      <w:start w:val="1"/>
      <w:numFmt w:val="decimal"/>
      <w:lvlText w:val="%1.%2.%3.%4.%5.%6.%7.%8.%9"/>
      <w:lvlJc w:val="left"/>
      <w:pPr>
        <w:tabs>
          <w:tab w:val="num" w:pos="1581"/>
        </w:tabs>
        <w:ind w:left="1581" w:hanging="1581"/>
      </w:pPr>
      <w:rPr>
        <w:rFonts w:hint="default"/>
        <w:u w:val="single"/>
      </w:rPr>
    </w:lvl>
  </w:abstractNum>
  <w:abstractNum w:abstractNumId="21" w15:restartNumberingAfterBreak="0">
    <w:nsid w:val="436242ED"/>
    <w:multiLevelType w:val="hybridMultilevel"/>
    <w:tmpl w:val="95A20F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D771AE"/>
    <w:multiLevelType w:val="multilevel"/>
    <w:tmpl w:val="04A81762"/>
    <w:lvl w:ilvl="0">
      <w:start w:val="1"/>
      <w:numFmt w:val="decimal"/>
      <w:pStyle w:val="Tableannotation"/>
      <w:suff w:val="nothing"/>
      <w:lvlText w:val="Tabl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BA959C5"/>
    <w:multiLevelType w:val="hybridMultilevel"/>
    <w:tmpl w:val="2BACBBC2"/>
    <w:lvl w:ilvl="0" w:tplc="8E3E5ADE">
      <w:start w:val="1"/>
      <w:numFmt w:val="bullet"/>
      <w:lvlText w:val=""/>
      <w:lvlJc w:val="left"/>
      <w:pPr>
        <w:tabs>
          <w:tab w:val="num" w:pos="720"/>
        </w:tabs>
        <w:ind w:left="720" w:hanging="360"/>
      </w:pPr>
      <w:rPr>
        <w:rFonts w:ascii="Wingdings" w:hAnsi="Wingdings" w:hint="default"/>
      </w:rPr>
    </w:lvl>
    <w:lvl w:ilvl="1" w:tplc="5BAC3AA0">
      <w:start w:val="51"/>
      <w:numFmt w:val="bullet"/>
      <w:lvlText w:val=""/>
      <w:lvlJc w:val="left"/>
      <w:pPr>
        <w:tabs>
          <w:tab w:val="num" w:pos="1440"/>
        </w:tabs>
        <w:ind w:left="1440" w:hanging="360"/>
      </w:pPr>
      <w:rPr>
        <w:rFonts w:ascii="Wingdings" w:hAnsi="Wingdings" w:hint="default"/>
      </w:rPr>
    </w:lvl>
    <w:lvl w:ilvl="2" w:tplc="8D28C0D2" w:tentative="1">
      <w:start w:val="1"/>
      <w:numFmt w:val="bullet"/>
      <w:lvlText w:val=""/>
      <w:lvlJc w:val="left"/>
      <w:pPr>
        <w:tabs>
          <w:tab w:val="num" w:pos="2160"/>
        </w:tabs>
        <w:ind w:left="2160" w:hanging="360"/>
      </w:pPr>
      <w:rPr>
        <w:rFonts w:ascii="Wingdings" w:hAnsi="Wingdings" w:hint="default"/>
      </w:rPr>
    </w:lvl>
    <w:lvl w:ilvl="3" w:tplc="CC02FD78" w:tentative="1">
      <w:start w:val="1"/>
      <w:numFmt w:val="bullet"/>
      <w:lvlText w:val=""/>
      <w:lvlJc w:val="left"/>
      <w:pPr>
        <w:tabs>
          <w:tab w:val="num" w:pos="2880"/>
        </w:tabs>
        <w:ind w:left="2880" w:hanging="360"/>
      </w:pPr>
      <w:rPr>
        <w:rFonts w:ascii="Wingdings" w:hAnsi="Wingdings" w:hint="default"/>
      </w:rPr>
    </w:lvl>
    <w:lvl w:ilvl="4" w:tplc="7188E3F4" w:tentative="1">
      <w:start w:val="1"/>
      <w:numFmt w:val="bullet"/>
      <w:lvlText w:val=""/>
      <w:lvlJc w:val="left"/>
      <w:pPr>
        <w:tabs>
          <w:tab w:val="num" w:pos="3600"/>
        </w:tabs>
        <w:ind w:left="3600" w:hanging="360"/>
      </w:pPr>
      <w:rPr>
        <w:rFonts w:ascii="Wingdings" w:hAnsi="Wingdings" w:hint="default"/>
      </w:rPr>
    </w:lvl>
    <w:lvl w:ilvl="5" w:tplc="C3D434F8" w:tentative="1">
      <w:start w:val="1"/>
      <w:numFmt w:val="bullet"/>
      <w:lvlText w:val=""/>
      <w:lvlJc w:val="left"/>
      <w:pPr>
        <w:tabs>
          <w:tab w:val="num" w:pos="4320"/>
        </w:tabs>
        <w:ind w:left="4320" w:hanging="360"/>
      </w:pPr>
      <w:rPr>
        <w:rFonts w:ascii="Wingdings" w:hAnsi="Wingdings" w:hint="default"/>
      </w:rPr>
    </w:lvl>
    <w:lvl w:ilvl="6" w:tplc="57EA3A5E" w:tentative="1">
      <w:start w:val="1"/>
      <w:numFmt w:val="bullet"/>
      <w:lvlText w:val=""/>
      <w:lvlJc w:val="left"/>
      <w:pPr>
        <w:tabs>
          <w:tab w:val="num" w:pos="5040"/>
        </w:tabs>
        <w:ind w:left="5040" w:hanging="360"/>
      </w:pPr>
      <w:rPr>
        <w:rFonts w:ascii="Wingdings" w:hAnsi="Wingdings" w:hint="default"/>
      </w:rPr>
    </w:lvl>
    <w:lvl w:ilvl="7" w:tplc="9EB4FC94" w:tentative="1">
      <w:start w:val="1"/>
      <w:numFmt w:val="bullet"/>
      <w:lvlText w:val=""/>
      <w:lvlJc w:val="left"/>
      <w:pPr>
        <w:tabs>
          <w:tab w:val="num" w:pos="5760"/>
        </w:tabs>
        <w:ind w:left="5760" w:hanging="360"/>
      </w:pPr>
      <w:rPr>
        <w:rFonts w:ascii="Wingdings" w:hAnsi="Wingdings" w:hint="default"/>
      </w:rPr>
    </w:lvl>
    <w:lvl w:ilvl="8" w:tplc="4C80288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84E29"/>
    <w:multiLevelType w:val="hybridMultilevel"/>
    <w:tmpl w:val="8064130E"/>
    <w:lvl w:ilvl="0" w:tplc="4F06F724">
      <w:start w:val="1"/>
      <w:numFmt w:val="lowerLetter"/>
      <w:pStyle w:val="SoS3"/>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start w:val="1"/>
      <w:numFmt w:val="lowerRoman"/>
      <w:lvlText w:val="%3."/>
      <w:lvlJc w:val="right"/>
      <w:pPr>
        <w:ind w:left="2160" w:hanging="180"/>
      </w:pPr>
    </w:lvl>
    <w:lvl w:ilvl="3" w:tplc="4FFE4AA4">
      <w:start w:val="1"/>
      <w:numFmt w:val="decimal"/>
      <w:lvlText w:val="%4)"/>
      <w:lvlJc w:val="left"/>
      <w:pPr>
        <w:ind w:left="2880" w:hanging="36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A03130"/>
    <w:multiLevelType w:val="multilevel"/>
    <w:tmpl w:val="7F52E028"/>
    <w:lvl w:ilvl="0">
      <w:start w:val="1"/>
      <w:numFmt w:val="decimal"/>
      <w:pStyle w:val="Figureannotation"/>
      <w:suff w:val="nothing"/>
      <w:lvlText w:val="Figure %1 – "/>
      <w:lvlJc w:val="left"/>
      <w:pPr>
        <w:ind w:left="720" w:hanging="360"/>
      </w:pPr>
      <w:rPr>
        <w:rFonts w:hint="default"/>
        <w:b/>
        <w:i w:val="0"/>
        <w:color w:val="5C2071" w:themeColor="accent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0F5F44"/>
    <w:multiLevelType w:val="hybridMultilevel"/>
    <w:tmpl w:val="398E5D9E"/>
    <w:lvl w:ilvl="0" w:tplc="9252CE64">
      <w:start w:val="1"/>
      <w:numFmt w:val="bullet"/>
      <w:pStyle w:val="ListTick"/>
      <w:lvlText w:val="ü"/>
      <w:lvlJc w:val="left"/>
      <w:pPr>
        <w:tabs>
          <w:tab w:val="num" w:pos="851"/>
        </w:tabs>
        <w:ind w:left="851" w:hanging="397"/>
      </w:pPr>
      <w:rPr>
        <w:rFonts w:ascii="Wingdings" w:hAnsi="Wingdings" w:hint="default"/>
        <w:color w:val="861889"/>
      </w:rPr>
    </w:lvl>
    <w:lvl w:ilvl="1" w:tplc="8B3017FA" w:tentative="1">
      <w:start w:val="1"/>
      <w:numFmt w:val="bullet"/>
      <w:lvlText w:val="o"/>
      <w:lvlJc w:val="left"/>
      <w:pPr>
        <w:ind w:left="1440" w:hanging="360"/>
      </w:pPr>
      <w:rPr>
        <w:rFonts w:ascii="Courier New" w:hAnsi="Courier New" w:cs="Courier New" w:hint="default"/>
      </w:rPr>
    </w:lvl>
    <w:lvl w:ilvl="2" w:tplc="392E022A" w:tentative="1">
      <w:start w:val="1"/>
      <w:numFmt w:val="bullet"/>
      <w:lvlText w:val=""/>
      <w:lvlJc w:val="left"/>
      <w:pPr>
        <w:ind w:left="2160" w:hanging="360"/>
      </w:pPr>
      <w:rPr>
        <w:rFonts w:ascii="Wingdings" w:hAnsi="Wingdings" w:hint="default"/>
      </w:rPr>
    </w:lvl>
    <w:lvl w:ilvl="3" w:tplc="84983852" w:tentative="1">
      <w:start w:val="1"/>
      <w:numFmt w:val="bullet"/>
      <w:lvlText w:val=""/>
      <w:lvlJc w:val="left"/>
      <w:pPr>
        <w:ind w:left="2880" w:hanging="360"/>
      </w:pPr>
      <w:rPr>
        <w:rFonts w:ascii="Symbol" w:hAnsi="Symbol" w:hint="default"/>
      </w:rPr>
    </w:lvl>
    <w:lvl w:ilvl="4" w:tplc="30EC2EC0" w:tentative="1">
      <w:start w:val="1"/>
      <w:numFmt w:val="bullet"/>
      <w:lvlText w:val="o"/>
      <w:lvlJc w:val="left"/>
      <w:pPr>
        <w:ind w:left="3600" w:hanging="360"/>
      </w:pPr>
      <w:rPr>
        <w:rFonts w:ascii="Courier New" w:hAnsi="Courier New" w:cs="Courier New" w:hint="default"/>
      </w:rPr>
    </w:lvl>
    <w:lvl w:ilvl="5" w:tplc="D4BCF14E" w:tentative="1">
      <w:start w:val="1"/>
      <w:numFmt w:val="bullet"/>
      <w:lvlText w:val=""/>
      <w:lvlJc w:val="left"/>
      <w:pPr>
        <w:ind w:left="4320" w:hanging="360"/>
      </w:pPr>
      <w:rPr>
        <w:rFonts w:ascii="Wingdings" w:hAnsi="Wingdings" w:hint="default"/>
      </w:rPr>
    </w:lvl>
    <w:lvl w:ilvl="6" w:tplc="06A67C5E" w:tentative="1">
      <w:start w:val="1"/>
      <w:numFmt w:val="bullet"/>
      <w:lvlText w:val=""/>
      <w:lvlJc w:val="left"/>
      <w:pPr>
        <w:ind w:left="5040" w:hanging="360"/>
      </w:pPr>
      <w:rPr>
        <w:rFonts w:ascii="Symbol" w:hAnsi="Symbol" w:hint="default"/>
      </w:rPr>
    </w:lvl>
    <w:lvl w:ilvl="7" w:tplc="B2588592" w:tentative="1">
      <w:start w:val="1"/>
      <w:numFmt w:val="bullet"/>
      <w:lvlText w:val="o"/>
      <w:lvlJc w:val="left"/>
      <w:pPr>
        <w:ind w:left="5760" w:hanging="360"/>
      </w:pPr>
      <w:rPr>
        <w:rFonts w:ascii="Courier New" w:hAnsi="Courier New" w:cs="Courier New" w:hint="default"/>
      </w:rPr>
    </w:lvl>
    <w:lvl w:ilvl="8" w:tplc="A22CF1F2" w:tentative="1">
      <w:start w:val="1"/>
      <w:numFmt w:val="bullet"/>
      <w:lvlText w:val=""/>
      <w:lvlJc w:val="left"/>
      <w:pPr>
        <w:ind w:left="6480" w:hanging="360"/>
      </w:pPr>
      <w:rPr>
        <w:rFonts w:ascii="Wingdings" w:hAnsi="Wingdings" w:hint="default"/>
      </w:rPr>
    </w:lvl>
  </w:abstractNum>
  <w:abstractNum w:abstractNumId="27" w15:restartNumberingAfterBreak="0">
    <w:nsid w:val="582C4D44"/>
    <w:multiLevelType w:val="hybridMultilevel"/>
    <w:tmpl w:val="B852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AB63A0"/>
    <w:multiLevelType w:val="hybridMultilevel"/>
    <w:tmpl w:val="6CA8D1AC"/>
    <w:lvl w:ilvl="0" w:tplc="13C26AA4">
      <w:start w:val="1"/>
      <w:numFmt w:val="bullet"/>
      <w:pStyle w:val="ListCross"/>
      <w:lvlText w:val="û"/>
      <w:lvlJc w:val="left"/>
      <w:pPr>
        <w:tabs>
          <w:tab w:val="num" w:pos="851"/>
        </w:tabs>
        <w:ind w:left="851" w:hanging="397"/>
      </w:pPr>
      <w:rPr>
        <w:rFonts w:ascii="Wingdings" w:hAnsi="Wingdings" w:hint="default"/>
        <w:color w:val="861889"/>
      </w:rPr>
    </w:lvl>
    <w:lvl w:ilvl="1" w:tplc="96301856" w:tentative="1">
      <w:start w:val="1"/>
      <w:numFmt w:val="bullet"/>
      <w:lvlText w:val="o"/>
      <w:lvlJc w:val="left"/>
      <w:pPr>
        <w:ind w:left="1440" w:hanging="360"/>
      </w:pPr>
      <w:rPr>
        <w:rFonts w:ascii="Courier New" w:hAnsi="Courier New" w:cs="Courier New" w:hint="default"/>
      </w:rPr>
    </w:lvl>
    <w:lvl w:ilvl="2" w:tplc="F9D4D25A" w:tentative="1">
      <w:start w:val="1"/>
      <w:numFmt w:val="bullet"/>
      <w:lvlText w:val=""/>
      <w:lvlJc w:val="left"/>
      <w:pPr>
        <w:ind w:left="2160" w:hanging="360"/>
      </w:pPr>
      <w:rPr>
        <w:rFonts w:ascii="Wingdings" w:hAnsi="Wingdings" w:hint="default"/>
      </w:rPr>
    </w:lvl>
    <w:lvl w:ilvl="3" w:tplc="4364DE92" w:tentative="1">
      <w:start w:val="1"/>
      <w:numFmt w:val="bullet"/>
      <w:lvlText w:val=""/>
      <w:lvlJc w:val="left"/>
      <w:pPr>
        <w:ind w:left="2880" w:hanging="360"/>
      </w:pPr>
      <w:rPr>
        <w:rFonts w:ascii="Symbol" w:hAnsi="Symbol" w:hint="default"/>
      </w:rPr>
    </w:lvl>
    <w:lvl w:ilvl="4" w:tplc="4B5C5C90" w:tentative="1">
      <w:start w:val="1"/>
      <w:numFmt w:val="bullet"/>
      <w:lvlText w:val="o"/>
      <w:lvlJc w:val="left"/>
      <w:pPr>
        <w:ind w:left="3600" w:hanging="360"/>
      </w:pPr>
      <w:rPr>
        <w:rFonts w:ascii="Courier New" w:hAnsi="Courier New" w:cs="Courier New" w:hint="default"/>
      </w:rPr>
    </w:lvl>
    <w:lvl w:ilvl="5" w:tplc="7CE272B6" w:tentative="1">
      <w:start w:val="1"/>
      <w:numFmt w:val="bullet"/>
      <w:lvlText w:val=""/>
      <w:lvlJc w:val="left"/>
      <w:pPr>
        <w:ind w:left="4320" w:hanging="360"/>
      </w:pPr>
      <w:rPr>
        <w:rFonts w:ascii="Wingdings" w:hAnsi="Wingdings" w:hint="default"/>
      </w:rPr>
    </w:lvl>
    <w:lvl w:ilvl="6" w:tplc="51EC5D28" w:tentative="1">
      <w:start w:val="1"/>
      <w:numFmt w:val="bullet"/>
      <w:lvlText w:val=""/>
      <w:lvlJc w:val="left"/>
      <w:pPr>
        <w:ind w:left="5040" w:hanging="360"/>
      </w:pPr>
      <w:rPr>
        <w:rFonts w:ascii="Symbol" w:hAnsi="Symbol" w:hint="default"/>
      </w:rPr>
    </w:lvl>
    <w:lvl w:ilvl="7" w:tplc="3E0A8E60" w:tentative="1">
      <w:start w:val="1"/>
      <w:numFmt w:val="bullet"/>
      <w:lvlText w:val="o"/>
      <w:lvlJc w:val="left"/>
      <w:pPr>
        <w:ind w:left="5760" w:hanging="360"/>
      </w:pPr>
      <w:rPr>
        <w:rFonts w:ascii="Courier New" w:hAnsi="Courier New" w:cs="Courier New" w:hint="default"/>
      </w:rPr>
    </w:lvl>
    <w:lvl w:ilvl="8" w:tplc="90AA2CE0" w:tentative="1">
      <w:start w:val="1"/>
      <w:numFmt w:val="bullet"/>
      <w:lvlText w:val=""/>
      <w:lvlJc w:val="left"/>
      <w:pPr>
        <w:ind w:left="6480" w:hanging="360"/>
      </w:pPr>
      <w:rPr>
        <w:rFonts w:ascii="Wingdings" w:hAnsi="Wingdings" w:hint="default"/>
      </w:rPr>
    </w:lvl>
  </w:abstractNum>
  <w:abstractNum w:abstractNumId="29" w15:restartNumberingAfterBreak="0">
    <w:nsid w:val="678C44F9"/>
    <w:multiLevelType w:val="hybridMultilevel"/>
    <w:tmpl w:val="AAE0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D16790"/>
    <w:multiLevelType w:val="hybridMultilevel"/>
    <w:tmpl w:val="92404984"/>
    <w:lvl w:ilvl="0" w:tplc="E04EA03C">
      <w:start w:val="1"/>
      <w:numFmt w:val="upperLetter"/>
      <w:pStyle w:val="AppendixHeading"/>
      <w:lvlText w:val="Appendix %1 –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575956"/>
    <w:multiLevelType w:val="hybridMultilevel"/>
    <w:tmpl w:val="E916A8D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7C96510D"/>
    <w:multiLevelType w:val="hybridMultilevel"/>
    <w:tmpl w:val="9DDEEE54"/>
    <w:lvl w:ilvl="0" w:tplc="D5C8030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20"/>
  </w:num>
  <w:num w:numId="4">
    <w:abstractNumId w:val="26"/>
  </w:num>
  <w:num w:numId="5">
    <w:abstractNumId w:val="28"/>
  </w:num>
  <w:num w:numId="6">
    <w:abstractNumId w:val="14"/>
  </w:num>
  <w:num w:numId="7">
    <w:abstractNumId w:val="7"/>
  </w:num>
  <w:num w:numId="8">
    <w:abstractNumId w:val="10"/>
  </w:num>
  <w:num w:numId="9">
    <w:abstractNumId w:val="4"/>
  </w:num>
  <w:num w:numId="10">
    <w:abstractNumId w:val="12"/>
  </w:num>
  <w:num w:numId="11">
    <w:abstractNumId w:val="15"/>
  </w:num>
  <w:num w:numId="12">
    <w:abstractNumId w:val="19"/>
  </w:num>
  <w:num w:numId="13">
    <w:abstractNumId w:val="30"/>
  </w:num>
  <w:num w:numId="14">
    <w:abstractNumId w:val="1"/>
  </w:num>
  <w:num w:numId="15">
    <w:abstractNumId w:val="25"/>
  </w:num>
  <w:num w:numId="16">
    <w:abstractNumId w:val="22"/>
  </w:num>
  <w:num w:numId="17">
    <w:abstractNumId w:val="24"/>
  </w:num>
  <w:num w:numId="18">
    <w:abstractNumId w:val="11"/>
  </w:num>
  <w:num w:numId="19">
    <w:abstractNumId w:val="8"/>
  </w:num>
  <w:num w:numId="20">
    <w:abstractNumId w:val="3"/>
  </w:num>
  <w:num w:numId="21">
    <w:abstractNumId w:val="13"/>
  </w:num>
  <w:num w:numId="22">
    <w:abstractNumId w:val="21"/>
  </w:num>
  <w:num w:numId="23">
    <w:abstractNumId w:val="20"/>
  </w:num>
  <w:num w:numId="24">
    <w:abstractNumId w:val="23"/>
  </w:num>
  <w:num w:numId="25">
    <w:abstractNumId w:val="27"/>
  </w:num>
  <w:num w:numId="26">
    <w:abstractNumId w:val="29"/>
  </w:num>
  <w:num w:numId="27">
    <w:abstractNumId w:val="9"/>
  </w:num>
  <w:num w:numId="28">
    <w:abstractNumId w:val="16"/>
  </w:num>
  <w:num w:numId="29">
    <w:abstractNumId w:val="17"/>
  </w:num>
  <w:num w:numId="30">
    <w:abstractNumId w:val="6"/>
  </w:num>
  <w:num w:numId="31">
    <w:abstractNumId w:val="32"/>
  </w:num>
  <w:num w:numId="32">
    <w:abstractNumId w:val="5"/>
  </w:num>
  <w:num w:numId="33">
    <w:abstractNumId w:val="18"/>
  </w:num>
  <w:num w:numId="34">
    <w:abstractNumId w:val="31"/>
  </w:num>
  <w:num w:numId="35">
    <w:abstractNumId w:val="30"/>
  </w:num>
  <w:num w:numId="36">
    <w:abstractNumId w:val="30"/>
  </w:num>
  <w:num w:numId="37">
    <w:abstractNumId w:val="30"/>
  </w:num>
  <w:num w:numId="38">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removePersonalInformation/>
  <w:removeDateAndTime/>
  <w:embedSystemFonts/>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B51"/>
    <w:rsid w:val="000023D7"/>
    <w:rsid w:val="00002807"/>
    <w:rsid w:val="00002C07"/>
    <w:rsid w:val="00002E38"/>
    <w:rsid w:val="0000483A"/>
    <w:rsid w:val="00006D48"/>
    <w:rsid w:val="00007922"/>
    <w:rsid w:val="0001108C"/>
    <w:rsid w:val="00012015"/>
    <w:rsid w:val="00012C37"/>
    <w:rsid w:val="00013681"/>
    <w:rsid w:val="00013DE1"/>
    <w:rsid w:val="00014DF0"/>
    <w:rsid w:val="00014E0C"/>
    <w:rsid w:val="000158D8"/>
    <w:rsid w:val="0001596C"/>
    <w:rsid w:val="00015E6D"/>
    <w:rsid w:val="0001601B"/>
    <w:rsid w:val="00016A1E"/>
    <w:rsid w:val="00016CEC"/>
    <w:rsid w:val="00016D9F"/>
    <w:rsid w:val="00017238"/>
    <w:rsid w:val="000176CF"/>
    <w:rsid w:val="00017801"/>
    <w:rsid w:val="00022890"/>
    <w:rsid w:val="00022B36"/>
    <w:rsid w:val="00022DCC"/>
    <w:rsid w:val="000248BC"/>
    <w:rsid w:val="00030033"/>
    <w:rsid w:val="00030450"/>
    <w:rsid w:val="00030A76"/>
    <w:rsid w:val="00032845"/>
    <w:rsid w:val="00032C08"/>
    <w:rsid w:val="00033289"/>
    <w:rsid w:val="00033945"/>
    <w:rsid w:val="0003463F"/>
    <w:rsid w:val="0003496C"/>
    <w:rsid w:val="00034FB8"/>
    <w:rsid w:val="000369DB"/>
    <w:rsid w:val="00040582"/>
    <w:rsid w:val="00040EC8"/>
    <w:rsid w:val="00041C64"/>
    <w:rsid w:val="000431FA"/>
    <w:rsid w:val="00043637"/>
    <w:rsid w:val="00044E8C"/>
    <w:rsid w:val="00052789"/>
    <w:rsid w:val="000530A4"/>
    <w:rsid w:val="00055BB5"/>
    <w:rsid w:val="00056367"/>
    <w:rsid w:val="00056889"/>
    <w:rsid w:val="000574A0"/>
    <w:rsid w:val="00062D5C"/>
    <w:rsid w:val="0006438D"/>
    <w:rsid w:val="00064C0A"/>
    <w:rsid w:val="00065B5E"/>
    <w:rsid w:val="00067235"/>
    <w:rsid w:val="00070535"/>
    <w:rsid w:val="00071310"/>
    <w:rsid w:val="00073134"/>
    <w:rsid w:val="000751CC"/>
    <w:rsid w:val="00075421"/>
    <w:rsid w:val="00075A86"/>
    <w:rsid w:val="00076EAA"/>
    <w:rsid w:val="0007792A"/>
    <w:rsid w:val="00080C91"/>
    <w:rsid w:val="00081342"/>
    <w:rsid w:val="00081C13"/>
    <w:rsid w:val="00083678"/>
    <w:rsid w:val="000839AF"/>
    <w:rsid w:val="0008441D"/>
    <w:rsid w:val="0008449B"/>
    <w:rsid w:val="00084E94"/>
    <w:rsid w:val="00085F5C"/>
    <w:rsid w:val="00085FD4"/>
    <w:rsid w:val="00086265"/>
    <w:rsid w:val="0008633B"/>
    <w:rsid w:val="00086E5E"/>
    <w:rsid w:val="00087774"/>
    <w:rsid w:val="00091627"/>
    <w:rsid w:val="00091D2C"/>
    <w:rsid w:val="0009212E"/>
    <w:rsid w:val="0009270E"/>
    <w:rsid w:val="0009300F"/>
    <w:rsid w:val="00093C31"/>
    <w:rsid w:val="000951B8"/>
    <w:rsid w:val="00095EE8"/>
    <w:rsid w:val="00095F55"/>
    <w:rsid w:val="000A0435"/>
    <w:rsid w:val="000A1380"/>
    <w:rsid w:val="000A2D84"/>
    <w:rsid w:val="000A57AC"/>
    <w:rsid w:val="000A6A94"/>
    <w:rsid w:val="000A6D73"/>
    <w:rsid w:val="000A79E0"/>
    <w:rsid w:val="000A7B16"/>
    <w:rsid w:val="000B0ACA"/>
    <w:rsid w:val="000B14C8"/>
    <w:rsid w:val="000B18D4"/>
    <w:rsid w:val="000B3357"/>
    <w:rsid w:val="000B3416"/>
    <w:rsid w:val="000B53DC"/>
    <w:rsid w:val="000B6321"/>
    <w:rsid w:val="000B6863"/>
    <w:rsid w:val="000B73BA"/>
    <w:rsid w:val="000B745F"/>
    <w:rsid w:val="000B781F"/>
    <w:rsid w:val="000B789F"/>
    <w:rsid w:val="000C1750"/>
    <w:rsid w:val="000C2BB8"/>
    <w:rsid w:val="000C41CB"/>
    <w:rsid w:val="000C5485"/>
    <w:rsid w:val="000C682B"/>
    <w:rsid w:val="000D1C40"/>
    <w:rsid w:val="000D3331"/>
    <w:rsid w:val="000D3469"/>
    <w:rsid w:val="000D4374"/>
    <w:rsid w:val="000D46DC"/>
    <w:rsid w:val="000D532A"/>
    <w:rsid w:val="000D626B"/>
    <w:rsid w:val="000D7209"/>
    <w:rsid w:val="000D7ACA"/>
    <w:rsid w:val="000E100A"/>
    <w:rsid w:val="000E190B"/>
    <w:rsid w:val="000E708D"/>
    <w:rsid w:val="000E74AC"/>
    <w:rsid w:val="000F143A"/>
    <w:rsid w:val="000F3B59"/>
    <w:rsid w:val="000F4734"/>
    <w:rsid w:val="000F49A2"/>
    <w:rsid w:val="000F57C6"/>
    <w:rsid w:val="000F5A08"/>
    <w:rsid w:val="000F62BD"/>
    <w:rsid w:val="000F78B1"/>
    <w:rsid w:val="00102CE8"/>
    <w:rsid w:val="00103A0A"/>
    <w:rsid w:val="001043DD"/>
    <w:rsid w:val="0010451C"/>
    <w:rsid w:val="001045FA"/>
    <w:rsid w:val="0010465D"/>
    <w:rsid w:val="00105220"/>
    <w:rsid w:val="00105E01"/>
    <w:rsid w:val="00106946"/>
    <w:rsid w:val="00106A09"/>
    <w:rsid w:val="001075BC"/>
    <w:rsid w:val="00107C8E"/>
    <w:rsid w:val="00110084"/>
    <w:rsid w:val="001102FE"/>
    <w:rsid w:val="001106F5"/>
    <w:rsid w:val="001118EB"/>
    <w:rsid w:val="001134FF"/>
    <w:rsid w:val="00113FB8"/>
    <w:rsid w:val="001142F7"/>
    <w:rsid w:val="001148E9"/>
    <w:rsid w:val="001149F2"/>
    <w:rsid w:val="00115156"/>
    <w:rsid w:val="001154B4"/>
    <w:rsid w:val="00115CB7"/>
    <w:rsid w:val="001166AE"/>
    <w:rsid w:val="00117114"/>
    <w:rsid w:val="00117ECF"/>
    <w:rsid w:val="0012147B"/>
    <w:rsid w:val="00123C59"/>
    <w:rsid w:val="001248AB"/>
    <w:rsid w:val="00125710"/>
    <w:rsid w:val="001267C5"/>
    <w:rsid w:val="001279DF"/>
    <w:rsid w:val="0013164C"/>
    <w:rsid w:val="00131D4B"/>
    <w:rsid w:val="0013209F"/>
    <w:rsid w:val="001344EA"/>
    <w:rsid w:val="00135DCD"/>
    <w:rsid w:val="00136466"/>
    <w:rsid w:val="00136F19"/>
    <w:rsid w:val="0014073F"/>
    <w:rsid w:val="0014143E"/>
    <w:rsid w:val="001419F7"/>
    <w:rsid w:val="00142B72"/>
    <w:rsid w:val="00143234"/>
    <w:rsid w:val="001444F7"/>
    <w:rsid w:val="00144E0E"/>
    <w:rsid w:val="00147826"/>
    <w:rsid w:val="001523C6"/>
    <w:rsid w:val="00152599"/>
    <w:rsid w:val="001540FD"/>
    <w:rsid w:val="00155248"/>
    <w:rsid w:val="001567AC"/>
    <w:rsid w:val="00156F7C"/>
    <w:rsid w:val="00157576"/>
    <w:rsid w:val="00157E13"/>
    <w:rsid w:val="00157EAD"/>
    <w:rsid w:val="00160E14"/>
    <w:rsid w:val="00161429"/>
    <w:rsid w:val="001615DF"/>
    <w:rsid w:val="00162EEB"/>
    <w:rsid w:val="001630B3"/>
    <w:rsid w:val="00165546"/>
    <w:rsid w:val="00167C5F"/>
    <w:rsid w:val="00171256"/>
    <w:rsid w:val="00173189"/>
    <w:rsid w:val="00175931"/>
    <w:rsid w:val="001768E6"/>
    <w:rsid w:val="001805D9"/>
    <w:rsid w:val="00180C58"/>
    <w:rsid w:val="00182E10"/>
    <w:rsid w:val="00183D12"/>
    <w:rsid w:val="001848AA"/>
    <w:rsid w:val="001856F4"/>
    <w:rsid w:val="00185D64"/>
    <w:rsid w:val="00186C94"/>
    <w:rsid w:val="00187E49"/>
    <w:rsid w:val="001900A6"/>
    <w:rsid w:val="00190B2B"/>
    <w:rsid w:val="00190F1D"/>
    <w:rsid w:val="00190F37"/>
    <w:rsid w:val="00192336"/>
    <w:rsid w:val="0019239E"/>
    <w:rsid w:val="00193954"/>
    <w:rsid w:val="001939A2"/>
    <w:rsid w:val="001942F0"/>
    <w:rsid w:val="00194422"/>
    <w:rsid w:val="00195A5F"/>
    <w:rsid w:val="0019673C"/>
    <w:rsid w:val="001967E3"/>
    <w:rsid w:val="001968D1"/>
    <w:rsid w:val="0019692C"/>
    <w:rsid w:val="00197DCA"/>
    <w:rsid w:val="00197FB7"/>
    <w:rsid w:val="001A02E8"/>
    <w:rsid w:val="001A0DF8"/>
    <w:rsid w:val="001A25F1"/>
    <w:rsid w:val="001A2DCA"/>
    <w:rsid w:val="001A3937"/>
    <w:rsid w:val="001A409B"/>
    <w:rsid w:val="001A60C3"/>
    <w:rsid w:val="001A657A"/>
    <w:rsid w:val="001A66A7"/>
    <w:rsid w:val="001A6D5B"/>
    <w:rsid w:val="001A7386"/>
    <w:rsid w:val="001A7700"/>
    <w:rsid w:val="001B0F68"/>
    <w:rsid w:val="001B0FC8"/>
    <w:rsid w:val="001B19F6"/>
    <w:rsid w:val="001B1AC0"/>
    <w:rsid w:val="001B2AE7"/>
    <w:rsid w:val="001B2FAE"/>
    <w:rsid w:val="001B5CEE"/>
    <w:rsid w:val="001B6690"/>
    <w:rsid w:val="001B7475"/>
    <w:rsid w:val="001C04D9"/>
    <w:rsid w:val="001C1CFC"/>
    <w:rsid w:val="001C5EC6"/>
    <w:rsid w:val="001C60B0"/>
    <w:rsid w:val="001C7EE9"/>
    <w:rsid w:val="001D07D5"/>
    <w:rsid w:val="001D0D14"/>
    <w:rsid w:val="001D1ED0"/>
    <w:rsid w:val="001D2C7B"/>
    <w:rsid w:val="001D2CE2"/>
    <w:rsid w:val="001D3983"/>
    <w:rsid w:val="001D3CF1"/>
    <w:rsid w:val="001D73B9"/>
    <w:rsid w:val="001D751F"/>
    <w:rsid w:val="001D7B4F"/>
    <w:rsid w:val="001D7C3C"/>
    <w:rsid w:val="001D7F66"/>
    <w:rsid w:val="001E01C1"/>
    <w:rsid w:val="001E0209"/>
    <w:rsid w:val="001E024D"/>
    <w:rsid w:val="001E030C"/>
    <w:rsid w:val="001E312B"/>
    <w:rsid w:val="001E4559"/>
    <w:rsid w:val="001E4FBF"/>
    <w:rsid w:val="001E5E83"/>
    <w:rsid w:val="001E68DA"/>
    <w:rsid w:val="001E777F"/>
    <w:rsid w:val="001E7784"/>
    <w:rsid w:val="001E7F84"/>
    <w:rsid w:val="001F05D0"/>
    <w:rsid w:val="001F08BD"/>
    <w:rsid w:val="001F118F"/>
    <w:rsid w:val="001F4AAC"/>
    <w:rsid w:val="001F4BFF"/>
    <w:rsid w:val="001F56B1"/>
    <w:rsid w:val="001F599B"/>
    <w:rsid w:val="001F5CE8"/>
    <w:rsid w:val="001F5F4E"/>
    <w:rsid w:val="001F7A53"/>
    <w:rsid w:val="002010E0"/>
    <w:rsid w:val="00201361"/>
    <w:rsid w:val="00201C82"/>
    <w:rsid w:val="00201D17"/>
    <w:rsid w:val="00201EB8"/>
    <w:rsid w:val="002023F9"/>
    <w:rsid w:val="00203441"/>
    <w:rsid w:val="00203930"/>
    <w:rsid w:val="00205040"/>
    <w:rsid w:val="00205FDB"/>
    <w:rsid w:val="002078B2"/>
    <w:rsid w:val="002119F1"/>
    <w:rsid w:val="00211CE7"/>
    <w:rsid w:val="0021216F"/>
    <w:rsid w:val="00213626"/>
    <w:rsid w:val="00213EEE"/>
    <w:rsid w:val="002145A5"/>
    <w:rsid w:val="002156BF"/>
    <w:rsid w:val="002158D6"/>
    <w:rsid w:val="00215DEA"/>
    <w:rsid w:val="00215FC3"/>
    <w:rsid w:val="0021692D"/>
    <w:rsid w:val="00216FD1"/>
    <w:rsid w:val="00217F24"/>
    <w:rsid w:val="002211C6"/>
    <w:rsid w:val="002212D2"/>
    <w:rsid w:val="002225AE"/>
    <w:rsid w:val="00222909"/>
    <w:rsid w:val="00222C88"/>
    <w:rsid w:val="0022370A"/>
    <w:rsid w:val="00223C5F"/>
    <w:rsid w:val="00227287"/>
    <w:rsid w:val="0023250C"/>
    <w:rsid w:val="00232D96"/>
    <w:rsid w:val="00233DEA"/>
    <w:rsid w:val="002343C7"/>
    <w:rsid w:val="002347C4"/>
    <w:rsid w:val="00235529"/>
    <w:rsid w:val="0023572D"/>
    <w:rsid w:val="00236170"/>
    <w:rsid w:val="002376DB"/>
    <w:rsid w:val="002419EA"/>
    <w:rsid w:val="00241F18"/>
    <w:rsid w:val="002440A6"/>
    <w:rsid w:val="00244A79"/>
    <w:rsid w:val="002451CE"/>
    <w:rsid w:val="00247041"/>
    <w:rsid w:val="00247083"/>
    <w:rsid w:val="00247D93"/>
    <w:rsid w:val="0025074F"/>
    <w:rsid w:val="00250E8E"/>
    <w:rsid w:val="0025157B"/>
    <w:rsid w:val="00251828"/>
    <w:rsid w:val="00252287"/>
    <w:rsid w:val="002542C4"/>
    <w:rsid w:val="00254D59"/>
    <w:rsid w:val="00255803"/>
    <w:rsid w:val="00261F20"/>
    <w:rsid w:val="0026279D"/>
    <w:rsid w:val="00263FFF"/>
    <w:rsid w:val="00265A1F"/>
    <w:rsid w:val="00265ADF"/>
    <w:rsid w:val="002664BB"/>
    <w:rsid w:val="00266E86"/>
    <w:rsid w:val="00267345"/>
    <w:rsid w:val="0027118E"/>
    <w:rsid w:val="00272181"/>
    <w:rsid w:val="0027246A"/>
    <w:rsid w:val="002729BB"/>
    <w:rsid w:val="002731EC"/>
    <w:rsid w:val="00273E61"/>
    <w:rsid w:val="00273FBE"/>
    <w:rsid w:val="002740BB"/>
    <w:rsid w:val="00275434"/>
    <w:rsid w:val="002756DC"/>
    <w:rsid w:val="00275906"/>
    <w:rsid w:val="00276C39"/>
    <w:rsid w:val="00281673"/>
    <w:rsid w:val="002824C6"/>
    <w:rsid w:val="00282A5F"/>
    <w:rsid w:val="00282E4F"/>
    <w:rsid w:val="00285B51"/>
    <w:rsid w:val="00286CF5"/>
    <w:rsid w:val="00287479"/>
    <w:rsid w:val="00290158"/>
    <w:rsid w:val="00291741"/>
    <w:rsid w:val="002931B8"/>
    <w:rsid w:val="002938E3"/>
    <w:rsid w:val="00293DE4"/>
    <w:rsid w:val="00293EDE"/>
    <w:rsid w:val="00295B8C"/>
    <w:rsid w:val="00295D63"/>
    <w:rsid w:val="00295EA5"/>
    <w:rsid w:val="002971C0"/>
    <w:rsid w:val="002A05BD"/>
    <w:rsid w:val="002A35FB"/>
    <w:rsid w:val="002A3882"/>
    <w:rsid w:val="002A3F9C"/>
    <w:rsid w:val="002A4258"/>
    <w:rsid w:val="002A56A4"/>
    <w:rsid w:val="002A67EC"/>
    <w:rsid w:val="002A729A"/>
    <w:rsid w:val="002B065C"/>
    <w:rsid w:val="002B1AEB"/>
    <w:rsid w:val="002B223F"/>
    <w:rsid w:val="002B27DF"/>
    <w:rsid w:val="002B2D03"/>
    <w:rsid w:val="002B2DF0"/>
    <w:rsid w:val="002B39A1"/>
    <w:rsid w:val="002B4809"/>
    <w:rsid w:val="002B533E"/>
    <w:rsid w:val="002B5DCC"/>
    <w:rsid w:val="002B6D09"/>
    <w:rsid w:val="002C168B"/>
    <w:rsid w:val="002C2B39"/>
    <w:rsid w:val="002C4A1A"/>
    <w:rsid w:val="002C4C22"/>
    <w:rsid w:val="002C591C"/>
    <w:rsid w:val="002C7787"/>
    <w:rsid w:val="002D0512"/>
    <w:rsid w:val="002D11E8"/>
    <w:rsid w:val="002D18EF"/>
    <w:rsid w:val="002D448D"/>
    <w:rsid w:val="002D4A07"/>
    <w:rsid w:val="002D5262"/>
    <w:rsid w:val="002D63E7"/>
    <w:rsid w:val="002D6F94"/>
    <w:rsid w:val="002D7F1A"/>
    <w:rsid w:val="002E20DE"/>
    <w:rsid w:val="002E2662"/>
    <w:rsid w:val="002E322A"/>
    <w:rsid w:val="002E376A"/>
    <w:rsid w:val="002E3A72"/>
    <w:rsid w:val="002E44F8"/>
    <w:rsid w:val="002E637C"/>
    <w:rsid w:val="002E6635"/>
    <w:rsid w:val="002E6812"/>
    <w:rsid w:val="002E6D16"/>
    <w:rsid w:val="002E7478"/>
    <w:rsid w:val="002F0051"/>
    <w:rsid w:val="002F11EE"/>
    <w:rsid w:val="002F1789"/>
    <w:rsid w:val="002F208B"/>
    <w:rsid w:val="002F2865"/>
    <w:rsid w:val="002F342F"/>
    <w:rsid w:val="002F3B3A"/>
    <w:rsid w:val="002F4E04"/>
    <w:rsid w:val="002F7E81"/>
    <w:rsid w:val="00300A8E"/>
    <w:rsid w:val="0030115A"/>
    <w:rsid w:val="0030122A"/>
    <w:rsid w:val="0030176F"/>
    <w:rsid w:val="003024CD"/>
    <w:rsid w:val="003049F9"/>
    <w:rsid w:val="00304BD0"/>
    <w:rsid w:val="003053E3"/>
    <w:rsid w:val="0030547A"/>
    <w:rsid w:val="00306E07"/>
    <w:rsid w:val="00307EF9"/>
    <w:rsid w:val="003105F3"/>
    <w:rsid w:val="003113AE"/>
    <w:rsid w:val="00311582"/>
    <w:rsid w:val="00311604"/>
    <w:rsid w:val="00312917"/>
    <w:rsid w:val="00312F3A"/>
    <w:rsid w:val="00313F9C"/>
    <w:rsid w:val="00314F6D"/>
    <w:rsid w:val="00316163"/>
    <w:rsid w:val="0031740C"/>
    <w:rsid w:val="00317745"/>
    <w:rsid w:val="003178C7"/>
    <w:rsid w:val="00323019"/>
    <w:rsid w:val="00326817"/>
    <w:rsid w:val="003269A8"/>
    <w:rsid w:val="00326FEA"/>
    <w:rsid w:val="00327637"/>
    <w:rsid w:val="003279E5"/>
    <w:rsid w:val="00327BC7"/>
    <w:rsid w:val="00331152"/>
    <w:rsid w:val="00331594"/>
    <w:rsid w:val="003317A4"/>
    <w:rsid w:val="00331A65"/>
    <w:rsid w:val="00331B28"/>
    <w:rsid w:val="003349D8"/>
    <w:rsid w:val="00336C0F"/>
    <w:rsid w:val="00337120"/>
    <w:rsid w:val="0034142E"/>
    <w:rsid w:val="00341E74"/>
    <w:rsid w:val="00344139"/>
    <w:rsid w:val="00344653"/>
    <w:rsid w:val="00346BB6"/>
    <w:rsid w:val="00347A8F"/>
    <w:rsid w:val="00350615"/>
    <w:rsid w:val="00350707"/>
    <w:rsid w:val="00350A9A"/>
    <w:rsid w:val="00351134"/>
    <w:rsid w:val="00351685"/>
    <w:rsid w:val="003536E3"/>
    <w:rsid w:val="0035397A"/>
    <w:rsid w:val="00353BD1"/>
    <w:rsid w:val="003568B8"/>
    <w:rsid w:val="003578AF"/>
    <w:rsid w:val="00357D66"/>
    <w:rsid w:val="00360B1C"/>
    <w:rsid w:val="00360D23"/>
    <w:rsid w:val="00364B0A"/>
    <w:rsid w:val="00370238"/>
    <w:rsid w:val="00371077"/>
    <w:rsid w:val="003712C6"/>
    <w:rsid w:val="00372BB1"/>
    <w:rsid w:val="00372D62"/>
    <w:rsid w:val="00375285"/>
    <w:rsid w:val="00376052"/>
    <w:rsid w:val="00376B83"/>
    <w:rsid w:val="00377971"/>
    <w:rsid w:val="00377B32"/>
    <w:rsid w:val="00380E17"/>
    <w:rsid w:val="003825E4"/>
    <w:rsid w:val="00385D47"/>
    <w:rsid w:val="00385FC5"/>
    <w:rsid w:val="00387B0F"/>
    <w:rsid w:val="00387F24"/>
    <w:rsid w:val="00390B17"/>
    <w:rsid w:val="00390E9F"/>
    <w:rsid w:val="00391B09"/>
    <w:rsid w:val="00393741"/>
    <w:rsid w:val="00393963"/>
    <w:rsid w:val="00393B0D"/>
    <w:rsid w:val="00393F79"/>
    <w:rsid w:val="00394F39"/>
    <w:rsid w:val="00395DC8"/>
    <w:rsid w:val="00395E93"/>
    <w:rsid w:val="003977DA"/>
    <w:rsid w:val="00397F39"/>
    <w:rsid w:val="003A0598"/>
    <w:rsid w:val="003A0880"/>
    <w:rsid w:val="003A0A3F"/>
    <w:rsid w:val="003A0A71"/>
    <w:rsid w:val="003A23F6"/>
    <w:rsid w:val="003A3B09"/>
    <w:rsid w:val="003A412B"/>
    <w:rsid w:val="003A5463"/>
    <w:rsid w:val="003A5BDC"/>
    <w:rsid w:val="003A65E2"/>
    <w:rsid w:val="003A6B61"/>
    <w:rsid w:val="003A6C64"/>
    <w:rsid w:val="003A7C41"/>
    <w:rsid w:val="003B357C"/>
    <w:rsid w:val="003B3A5C"/>
    <w:rsid w:val="003B46D2"/>
    <w:rsid w:val="003B4CB7"/>
    <w:rsid w:val="003B5178"/>
    <w:rsid w:val="003B59CE"/>
    <w:rsid w:val="003B5F6C"/>
    <w:rsid w:val="003B6646"/>
    <w:rsid w:val="003B7D9A"/>
    <w:rsid w:val="003C0231"/>
    <w:rsid w:val="003C0C1B"/>
    <w:rsid w:val="003C283C"/>
    <w:rsid w:val="003C2C9C"/>
    <w:rsid w:val="003C2D02"/>
    <w:rsid w:val="003C3196"/>
    <w:rsid w:val="003C32FC"/>
    <w:rsid w:val="003C3C2F"/>
    <w:rsid w:val="003C67F7"/>
    <w:rsid w:val="003C6F86"/>
    <w:rsid w:val="003D0452"/>
    <w:rsid w:val="003D07F5"/>
    <w:rsid w:val="003D1955"/>
    <w:rsid w:val="003D529C"/>
    <w:rsid w:val="003D5559"/>
    <w:rsid w:val="003E299D"/>
    <w:rsid w:val="003E56AB"/>
    <w:rsid w:val="003E625B"/>
    <w:rsid w:val="003E636B"/>
    <w:rsid w:val="003E6D71"/>
    <w:rsid w:val="003E6E88"/>
    <w:rsid w:val="003F02A3"/>
    <w:rsid w:val="003F0835"/>
    <w:rsid w:val="003F1332"/>
    <w:rsid w:val="003F24C9"/>
    <w:rsid w:val="003F254A"/>
    <w:rsid w:val="003F3378"/>
    <w:rsid w:val="003F695D"/>
    <w:rsid w:val="00400CE9"/>
    <w:rsid w:val="0040231B"/>
    <w:rsid w:val="00402D80"/>
    <w:rsid w:val="00403A06"/>
    <w:rsid w:val="00404F6A"/>
    <w:rsid w:val="00404F7A"/>
    <w:rsid w:val="00406425"/>
    <w:rsid w:val="004064E0"/>
    <w:rsid w:val="00406C41"/>
    <w:rsid w:val="00406EB9"/>
    <w:rsid w:val="00406ED7"/>
    <w:rsid w:val="00407AEF"/>
    <w:rsid w:val="004119FB"/>
    <w:rsid w:val="004122B8"/>
    <w:rsid w:val="00412369"/>
    <w:rsid w:val="00412A22"/>
    <w:rsid w:val="00413255"/>
    <w:rsid w:val="00415690"/>
    <w:rsid w:val="00415696"/>
    <w:rsid w:val="0041569B"/>
    <w:rsid w:val="004169D4"/>
    <w:rsid w:val="00422846"/>
    <w:rsid w:val="00422DE0"/>
    <w:rsid w:val="00422EF3"/>
    <w:rsid w:val="00423A1D"/>
    <w:rsid w:val="00423CFE"/>
    <w:rsid w:val="0042418F"/>
    <w:rsid w:val="00424B53"/>
    <w:rsid w:val="0042566F"/>
    <w:rsid w:val="00425B34"/>
    <w:rsid w:val="00426134"/>
    <w:rsid w:val="004274E0"/>
    <w:rsid w:val="004277F0"/>
    <w:rsid w:val="0043010B"/>
    <w:rsid w:val="00430182"/>
    <w:rsid w:val="0043041F"/>
    <w:rsid w:val="004313F5"/>
    <w:rsid w:val="0043177D"/>
    <w:rsid w:val="004320E3"/>
    <w:rsid w:val="0043422F"/>
    <w:rsid w:val="004347F0"/>
    <w:rsid w:val="00434FE5"/>
    <w:rsid w:val="00435F8A"/>
    <w:rsid w:val="00437088"/>
    <w:rsid w:val="004370E5"/>
    <w:rsid w:val="004372F0"/>
    <w:rsid w:val="00437F9E"/>
    <w:rsid w:val="00440360"/>
    <w:rsid w:val="0044217A"/>
    <w:rsid w:val="00443F93"/>
    <w:rsid w:val="00444342"/>
    <w:rsid w:val="004449D9"/>
    <w:rsid w:val="004466E7"/>
    <w:rsid w:val="00446A5E"/>
    <w:rsid w:val="004506A4"/>
    <w:rsid w:val="00450D53"/>
    <w:rsid w:val="00451333"/>
    <w:rsid w:val="004514E4"/>
    <w:rsid w:val="0045249F"/>
    <w:rsid w:val="004526CE"/>
    <w:rsid w:val="00452F27"/>
    <w:rsid w:val="00453768"/>
    <w:rsid w:val="00453782"/>
    <w:rsid w:val="004539F0"/>
    <w:rsid w:val="00453EA5"/>
    <w:rsid w:val="00454D2F"/>
    <w:rsid w:val="00456095"/>
    <w:rsid w:val="00456349"/>
    <w:rsid w:val="00456EA6"/>
    <w:rsid w:val="0045703C"/>
    <w:rsid w:val="0045765E"/>
    <w:rsid w:val="0045787E"/>
    <w:rsid w:val="00461FBA"/>
    <w:rsid w:val="00463124"/>
    <w:rsid w:val="00465DCE"/>
    <w:rsid w:val="00466631"/>
    <w:rsid w:val="00466A4D"/>
    <w:rsid w:val="00466C53"/>
    <w:rsid w:val="004672F8"/>
    <w:rsid w:val="00467397"/>
    <w:rsid w:val="00470339"/>
    <w:rsid w:val="00471162"/>
    <w:rsid w:val="004714CC"/>
    <w:rsid w:val="00471E34"/>
    <w:rsid w:val="00474571"/>
    <w:rsid w:val="00474F0E"/>
    <w:rsid w:val="00475136"/>
    <w:rsid w:val="004777E2"/>
    <w:rsid w:val="004778F6"/>
    <w:rsid w:val="00477B3F"/>
    <w:rsid w:val="00482194"/>
    <w:rsid w:val="0048355A"/>
    <w:rsid w:val="004843F8"/>
    <w:rsid w:val="004868BC"/>
    <w:rsid w:val="0048727F"/>
    <w:rsid w:val="00487292"/>
    <w:rsid w:val="004879B0"/>
    <w:rsid w:val="00487BDE"/>
    <w:rsid w:val="00487BDF"/>
    <w:rsid w:val="00490594"/>
    <w:rsid w:val="004919FD"/>
    <w:rsid w:val="00491C0F"/>
    <w:rsid w:val="00492074"/>
    <w:rsid w:val="00493968"/>
    <w:rsid w:val="00494AA1"/>
    <w:rsid w:val="00496641"/>
    <w:rsid w:val="004A016C"/>
    <w:rsid w:val="004A3969"/>
    <w:rsid w:val="004A4FD8"/>
    <w:rsid w:val="004A5819"/>
    <w:rsid w:val="004A6CBB"/>
    <w:rsid w:val="004B040C"/>
    <w:rsid w:val="004B0A6E"/>
    <w:rsid w:val="004B1BCE"/>
    <w:rsid w:val="004B1BF7"/>
    <w:rsid w:val="004B2131"/>
    <w:rsid w:val="004B2950"/>
    <w:rsid w:val="004B2C0E"/>
    <w:rsid w:val="004B2C2A"/>
    <w:rsid w:val="004B3823"/>
    <w:rsid w:val="004B3ADB"/>
    <w:rsid w:val="004B3C40"/>
    <w:rsid w:val="004B4611"/>
    <w:rsid w:val="004B4D09"/>
    <w:rsid w:val="004B6508"/>
    <w:rsid w:val="004C003B"/>
    <w:rsid w:val="004C0999"/>
    <w:rsid w:val="004C0B90"/>
    <w:rsid w:val="004C1225"/>
    <w:rsid w:val="004C2832"/>
    <w:rsid w:val="004C38E8"/>
    <w:rsid w:val="004C3917"/>
    <w:rsid w:val="004C4599"/>
    <w:rsid w:val="004C50EF"/>
    <w:rsid w:val="004C58F6"/>
    <w:rsid w:val="004C5EFB"/>
    <w:rsid w:val="004C6757"/>
    <w:rsid w:val="004C7436"/>
    <w:rsid w:val="004D0043"/>
    <w:rsid w:val="004D1A6D"/>
    <w:rsid w:val="004D1AE6"/>
    <w:rsid w:val="004D245A"/>
    <w:rsid w:val="004D24A0"/>
    <w:rsid w:val="004D2834"/>
    <w:rsid w:val="004D30CC"/>
    <w:rsid w:val="004D59CB"/>
    <w:rsid w:val="004D6222"/>
    <w:rsid w:val="004D7500"/>
    <w:rsid w:val="004D7C41"/>
    <w:rsid w:val="004E055B"/>
    <w:rsid w:val="004E139F"/>
    <w:rsid w:val="004E1685"/>
    <w:rsid w:val="004E1927"/>
    <w:rsid w:val="004E2F36"/>
    <w:rsid w:val="004E357B"/>
    <w:rsid w:val="004E3842"/>
    <w:rsid w:val="004E397F"/>
    <w:rsid w:val="004E79DC"/>
    <w:rsid w:val="004F04A7"/>
    <w:rsid w:val="004F1032"/>
    <w:rsid w:val="004F12AE"/>
    <w:rsid w:val="004F18BB"/>
    <w:rsid w:val="004F1B46"/>
    <w:rsid w:val="004F2B9B"/>
    <w:rsid w:val="004F470F"/>
    <w:rsid w:val="004F588A"/>
    <w:rsid w:val="004F61FA"/>
    <w:rsid w:val="004F6958"/>
    <w:rsid w:val="004F7646"/>
    <w:rsid w:val="004F7708"/>
    <w:rsid w:val="005004A9"/>
    <w:rsid w:val="005008FD"/>
    <w:rsid w:val="005010F7"/>
    <w:rsid w:val="005011AE"/>
    <w:rsid w:val="00501961"/>
    <w:rsid w:val="00502E97"/>
    <w:rsid w:val="005036B6"/>
    <w:rsid w:val="005052B5"/>
    <w:rsid w:val="005062C0"/>
    <w:rsid w:val="00506B1D"/>
    <w:rsid w:val="0050706D"/>
    <w:rsid w:val="00507C91"/>
    <w:rsid w:val="0051086E"/>
    <w:rsid w:val="005125F5"/>
    <w:rsid w:val="005126C9"/>
    <w:rsid w:val="005139D5"/>
    <w:rsid w:val="00514FC6"/>
    <w:rsid w:val="00517CD9"/>
    <w:rsid w:val="0052145D"/>
    <w:rsid w:val="00522C43"/>
    <w:rsid w:val="005234FD"/>
    <w:rsid w:val="0052372B"/>
    <w:rsid w:val="00524349"/>
    <w:rsid w:val="005243DA"/>
    <w:rsid w:val="00524AB3"/>
    <w:rsid w:val="0052508C"/>
    <w:rsid w:val="00525597"/>
    <w:rsid w:val="0052593B"/>
    <w:rsid w:val="00525C10"/>
    <w:rsid w:val="00526231"/>
    <w:rsid w:val="00526958"/>
    <w:rsid w:val="00526989"/>
    <w:rsid w:val="00527686"/>
    <w:rsid w:val="00530335"/>
    <w:rsid w:val="00532296"/>
    <w:rsid w:val="00533739"/>
    <w:rsid w:val="00535C72"/>
    <w:rsid w:val="00536503"/>
    <w:rsid w:val="005372A9"/>
    <w:rsid w:val="00540872"/>
    <w:rsid w:val="00540F8D"/>
    <w:rsid w:val="005410AB"/>
    <w:rsid w:val="00541145"/>
    <w:rsid w:val="00541A5B"/>
    <w:rsid w:val="00542352"/>
    <w:rsid w:val="00542F7C"/>
    <w:rsid w:val="00543602"/>
    <w:rsid w:val="0054534B"/>
    <w:rsid w:val="005465FC"/>
    <w:rsid w:val="00547C14"/>
    <w:rsid w:val="00547F50"/>
    <w:rsid w:val="00550C2B"/>
    <w:rsid w:val="00550E0D"/>
    <w:rsid w:val="005521F5"/>
    <w:rsid w:val="00553837"/>
    <w:rsid w:val="00555194"/>
    <w:rsid w:val="005559E1"/>
    <w:rsid w:val="005564AD"/>
    <w:rsid w:val="00556A4A"/>
    <w:rsid w:val="00560DF2"/>
    <w:rsid w:val="00563761"/>
    <w:rsid w:val="00565B42"/>
    <w:rsid w:val="005661A9"/>
    <w:rsid w:val="00566F5B"/>
    <w:rsid w:val="00571197"/>
    <w:rsid w:val="0057613E"/>
    <w:rsid w:val="005770A0"/>
    <w:rsid w:val="00577637"/>
    <w:rsid w:val="00581426"/>
    <w:rsid w:val="00581670"/>
    <w:rsid w:val="005822BD"/>
    <w:rsid w:val="0058296F"/>
    <w:rsid w:val="00582F52"/>
    <w:rsid w:val="00583881"/>
    <w:rsid w:val="00583C5F"/>
    <w:rsid w:val="00584536"/>
    <w:rsid w:val="00585630"/>
    <w:rsid w:val="00585984"/>
    <w:rsid w:val="00590274"/>
    <w:rsid w:val="00590539"/>
    <w:rsid w:val="00591101"/>
    <w:rsid w:val="00591D31"/>
    <w:rsid w:val="00591E18"/>
    <w:rsid w:val="005928F6"/>
    <w:rsid w:val="00592B99"/>
    <w:rsid w:val="00593A89"/>
    <w:rsid w:val="00593F68"/>
    <w:rsid w:val="00595026"/>
    <w:rsid w:val="00595102"/>
    <w:rsid w:val="00595E4E"/>
    <w:rsid w:val="0059676B"/>
    <w:rsid w:val="005970FB"/>
    <w:rsid w:val="005A171B"/>
    <w:rsid w:val="005A1F1C"/>
    <w:rsid w:val="005A2F8B"/>
    <w:rsid w:val="005A3035"/>
    <w:rsid w:val="005A33DA"/>
    <w:rsid w:val="005A34BC"/>
    <w:rsid w:val="005A6723"/>
    <w:rsid w:val="005A74D3"/>
    <w:rsid w:val="005B04E7"/>
    <w:rsid w:val="005B1460"/>
    <w:rsid w:val="005B1585"/>
    <w:rsid w:val="005B1E2D"/>
    <w:rsid w:val="005B2F8E"/>
    <w:rsid w:val="005B3F24"/>
    <w:rsid w:val="005B412C"/>
    <w:rsid w:val="005B4276"/>
    <w:rsid w:val="005B5AF4"/>
    <w:rsid w:val="005B605E"/>
    <w:rsid w:val="005B7050"/>
    <w:rsid w:val="005B7293"/>
    <w:rsid w:val="005C0E05"/>
    <w:rsid w:val="005C15F3"/>
    <w:rsid w:val="005C160D"/>
    <w:rsid w:val="005C3189"/>
    <w:rsid w:val="005C3549"/>
    <w:rsid w:val="005C4713"/>
    <w:rsid w:val="005C523A"/>
    <w:rsid w:val="005C66C0"/>
    <w:rsid w:val="005D02FF"/>
    <w:rsid w:val="005D2339"/>
    <w:rsid w:val="005D3420"/>
    <w:rsid w:val="005D515A"/>
    <w:rsid w:val="005D56FB"/>
    <w:rsid w:val="005D5D2A"/>
    <w:rsid w:val="005D6853"/>
    <w:rsid w:val="005D6E06"/>
    <w:rsid w:val="005E024C"/>
    <w:rsid w:val="005E1E32"/>
    <w:rsid w:val="005E2C83"/>
    <w:rsid w:val="005E351B"/>
    <w:rsid w:val="005E4D5B"/>
    <w:rsid w:val="005E56C0"/>
    <w:rsid w:val="005E5B8B"/>
    <w:rsid w:val="005E5EA5"/>
    <w:rsid w:val="005E63B8"/>
    <w:rsid w:val="005F0024"/>
    <w:rsid w:val="005F2A47"/>
    <w:rsid w:val="005F43B9"/>
    <w:rsid w:val="005F4532"/>
    <w:rsid w:val="005F464F"/>
    <w:rsid w:val="005F5B8F"/>
    <w:rsid w:val="005F5EC8"/>
    <w:rsid w:val="005F6D09"/>
    <w:rsid w:val="005F7F6C"/>
    <w:rsid w:val="006008AD"/>
    <w:rsid w:val="00600FDA"/>
    <w:rsid w:val="00601D9F"/>
    <w:rsid w:val="00603A71"/>
    <w:rsid w:val="00604014"/>
    <w:rsid w:val="0060403D"/>
    <w:rsid w:val="00605673"/>
    <w:rsid w:val="00610FEF"/>
    <w:rsid w:val="006112C6"/>
    <w:rsid w:val="006121D1"/>
    <w:rsid w:val="00613975"/>
    <w:rsid w:val="00614DBC"/>
    <w:rsid w:val="00617262"/>
    <w:rsid w:val="0062022E"/>
    <w:rsid w:val="00620282"/>
    <w:rsid w:val="0062100A"/>
    <w:rsid w:val="006211CA"/>
    <w:rsid w:val="00621816"/>
    <w:rsid w:val="00622660"/>
    <w:rsid w:val="006226C4"/>
    <w:rsid w:val="00623622"/>
    <w:rsid w:val="00623A40"/>
    <w:rsid w:val="00624C61"/>
    <w:rsid w:val="0062555F"/>
    <w:rsid w:val="00625650"/>
    <w:rsid w:val="00625BAD"/>
    <w:rsid w:val="00625E75"/>
    <w:rsid w:val="00625F48"/>
    <w:rsid w:val="00626033"/>
    <w:rsid w:val="006265F8"/>
    <w:rsid w:val="00626EDF"/>
    <w:rsid w:val="0063087F"/>
    <w:rsid w:val="00630A9B"/>
    <w:rsid w:val="00631C2A"/>
    <w:rsid w:val="00631CF4"/>
    <w:rsid w:val="00631ED2"/>
    <w:rsid w:val="0063371A"/>
    <w:rsid w:val="00642AF2"/>
    <w:rsid w:val="00644598"/>
    <w:rsid w:val="00644A88"/>
    <w:rsid w:val="006469EB"/>
    <w:rsid w:val="00647DE9"/>
    <w:rsid w:val="00650BAD"/>
    <w:rsid w:val="00650D99"/>
    <w:rsid w:val="00650F48"/>
    <w:rsid w:val="0065146C"/>
    <w:rsid w:val="00652BE8"/>
    <w:rsid w:val="006536B3"/>
    <w:rsid w:val="006540A8"/>
    <w:rsid w:val="00654BE0"/>
    <w:rsid w:val="00654CB7"/>
    <w:rsid w:val="00655912"/>
    <w:rsid w:val="00656DA2"/>
    <w:rsid w:val="00657B27"/>
    <w:rsid w:val="00662C89"/>
    <w:rsid w:val="00662DE7"/>
    <w:rsid w:val="00662ED1"/>
    <w:rsid w:val="00663742"/>
    <w:rsid w:val="00665106"/>
    <w:rsid w:val="006672D3"/>
    <w:rsid w:val="00667F22"/>
    <w:rsid w:val="00671D44"/>
    <w:rsid w:val="006724B5"/>
    <w:rsid w:val="00673396"/>
    <w:rsid w:val="006734C3"/>
    <w:rsid w:val="00673928"/>
    <w:rsid w:val="00673B5A"/>
    <w:rsid w:val="006741BE"/>
    <w:rsid w:val="0067478E"/>
    <w:rsid w:val="00674D62"/>
    <w:rsid w:val="006757B9"/>
    <w:rsid w:val="00675CD5"/>
    <w:rsid w:val="00676777"/>
    <w:rsid w:val="00676C2B"/>
    <w:rsid w:val="00676FA3"/>
    <w:rsid w:val="00677316"/>
    <w:rsid w:val="00677DEA"/>
    <w:rsid w:val="00680396"/>
    <w:rsid w:val="0068176C"/>
    <w:rsid w:val="00681D59"/>
    <w:rsid w:val="006823EF"/>
    <w:rsid w:val="0068441D"/>
    <w:rsid w:val="00684B75"/>
    <w:rsid w:val="0068511B"/>
    <w:rsid w:val="0068623A"/>
    <w:rsid w:val="00687AAC"/>
    <w:rsid w:val="0069010A"/>
    <w:rsid w:val="00690407"/>
    <w:rsid w:val="006921E2"/>
    <w:rsid w:val="00692A0B"/>
    <w:rsid w:val="00693A7D"/>
    <w:rsid w:val="00693EBD"/>
    <w:rsid w:val="00694EB1"/>
    <w:rsid w:val="00695955"/>
    <w:rsid w:val="006962F1"/>
    <w:rsid w:val="00696A0F"/>
    <w:rsid w:val="00697D2F"/>
    <w:rsid w:val="006A02E3"/>
    <w:rsid w:val="006A0CD5"/>
    <w:rsid w:val="006A1494"/>
    <w:rsid w:val="006A2043"/>
    <w:rsid w:val="006A2341"/>
    <w:rsid w:val="006A23DA"/>
    <w:rsid w:val="006A28D5"/>
    <w:rsid w:val="006A2F3E"/>
    <w:rsid w:val="006A3289"/>
    <w:rsid w:val="006A3933"/>
    <w:rsid w:val="006A4E00"/>
    <w:rsid w:val="006A6000"/>
    <w:rsid w:val="006A6C8E"/>
    <w:rsid w:val="006A73D4"/>
    <w:rsid w:val="006A7E73"/>
    <w:rsid w:val="006B1022"/>
    <w:rsid w:val="006B1C47"/>
    <w:rsid w:val="006B2935"/>
    <w:rsid w:val="006B29B2"/>
    <w:rsid w:val="006B30B6"/>
    <w:rsid w:val="006B3531"/>
    <w:rsid w:val="006B4E65"/>
    <w:rsid w:val="006B5356"/>
    <w:rsid w:val="006C046E"/>
    <w:rsid w:val="006C07E6"/>
    <w:rsid w:val="006C10D8"/>
    <w:rsid w:val="006C1C68"/>
    <w:rsid w:val="006C2798"/>
    <w:rsid w:val="006C280C"/>
    <w:rsid w:val="006C287D"/>
    <w:rsid w:val="006C5942"/>
    <w:rsid w:val="006C6F16"/>
    <w:rsid w:val="006C7537"/>
    <w:rsid w:val="006D0A2B"/>
    <w:rsid w:val="006D2FD0"/>
    <w:rsid w:val="006D3A53"/>
    <w:rsid w:val="006D3ACB"/>
    <w:rsid w:val="006D433B"/>
    <w:rsid w:val="006D4930"/>
    <w:rsid w:val="006D5225"/>
    <w:rsid w:val="006E010B"/>
    <w:rsid w:val="006E0C28"/>
    <w:rsid w:val="006E4126"/>
    <w:rsid w:val="006E412F"/>
    <w:rsid w:val="006E5182"/>
    <w:rsid w:val="006E566F"/>
    <w:rsid w:val="006E5B52"/>
    <w:rsid w:val="006E6142"/>
    <w:rsid w:val="006E66A9"/>
    <w:rsid w:val="006E6A15"/>
    <w:rsid w:val="006F0D2E"/>
    <w:rsid w:val="006F14D0"/>
    <w:rsid w:val="006F1D50"/>
    <w:rsid w:val="006F2575"/>
    <w:rsid w:val="006F2CEB"/>
    <w:rsid w:val="006F3FB4"/>
    <w:rsid w:val="006F438F"/>
    <w:rsid w:val="006F6781"/>
    <w:rsid w:val="00700899"/>
    <w:rsid w:val="00701BB0"/>
    <w:rsid w:val="00702EA2"/>
    <w:rsid w:val="00704261"/>
    <w:rsid w:val="00705E49"/>
    <w:rsid w:val="007064C3"/>
    <w:rsid w:val="007102B4"/>
    <w:rsid w:val="00711F1A"/>
    <w:rsid w:val="007138C0"/>
    <w:rsid w:val="00713E88"/>
    <w:rsid w:val="00714724"/>
    <w:rsid w:val="007147D9"/>
    <w:rsid w:val="00714864"/>
    <w:rsid w:val="00714998"/>
    <w:rsid w:val="00714DC1"/>
    <w:rsid w:val="00716260"/>
    <w:rsid w:val="0071784A"/>
    <w:rsid w:val="00720E9D"/>
    <w:rsid w:val="00721005"/>
    <w:rsid w:val="007212A7"/>
    <w:rsid w:val="00721324"/>
    <w:rsid w:val="00721CD9"/>
    <w:rsid w:val="00722C59"/>
    <w:rsid w:val="0072466F"/>
    <w:rsid w:val="00724A7F"/>
    <w:rsid w:val="007254BB"/>
    <w:rsid w:val="0072632B"/>
    <w:rsid w:val="007268B9"/>
    <w:rsid w:val="00726D10"/>
    <w:rsid w:val="00727410"/>
    <w:rsid w:val="0073084B"/>
    <w:rsid w:val="0073093B"/>
    <w:rsid w:val="00731293"/>
    <w:rsid w:val="00731FE1"/>
    <w:rsid w:val="00733CD5"/>
    <w:rsid w:val="00734770"/>
    <w:rsid w:val="00734DCB"/>
    <w:rsid w:val="00735696"/>
    <w:rsid w:val="007358AD"/>
    <w:rsid w:val="00736685"/>
    <w:rsid w:val="0074107C"/>
    <w:rsid w:val="007411FA"/>
    <w:rsid w:val="00741915"/>
    <w:rsid w:val="00745CDA"/>
    <w:rsid w:val="00745D6B"/>
    <w:rsid w:val="00745F8D"/>
    <w:rsid w:val="00746AD2"/>
    <w:rsid w:val="0074788C"/>
    <w:rsid w:val="007478F4"/>
    <w:rsid w:val="00747AB8"/>
    <w:rsid w:val="007514FF"/>
    <w:rsid w:val="007530EB"/>
    <w:rsid w:val="00753E7E"/>
    <w:rsid w:val="00754ADF"/>
    <w:rsid w:val="007557C1"/>
    <w:rsid w:val="00755A89"/>
    <w:rsid w:val="00757626"/>
    <w:rsid w:val="0076061C"/>
    <w:rsid w:val="007617AC"/>
    <w:rsid w:val="00763786"/>
    <w:rsid w:val="00765684"/>
    <w:rsid w:val="00765B73"/>
    <w:rsid w:val="0077215E"/>
    <w:rsid w:val="00772CE4"/>
    <w:rsid w:val="00772D02"/>
    <w:rsid w:val="0077364B"/>
    <w:rsid w:val="00773AE9"/>
    <w:rsid w:val="0077467B"/>
    <w:rsid w:val="00774879"/>
    <w:rsid w:val="00774C57"/>
    <w:rsid w:val="00777926"/>
    <w:rsid w:val="007800EC"/>
    <w:rsid w:val="00780202"/>
    <w:rsid w:val="00780889"/>
    <w:rsid w:val="00781B98"/>
    <w:rsid w:val="00781C63"/>
    <w:rsid w:val="00781E88"/>
    <w:rsid w:val="00781EB0"/>
    <w:rsid w:val="00782B0B"/>
    <w:rsid w:val="007843F6"/>
    <w:rsid w:val="00784E4C"/>
    <w:rsid w:val="00786EFF"/>
    <w:rsid w:val="00787AD3"/>
    <w:rsid w:val="00787B74"/>
    <w:rsid w:val="0079001A"/>
    <w:rsid w:val="0079005C"/>
    <w:rsid w:val="007912B2"/>
    <w:rsid w:val="00792D6A"/>
    <w:rsid w:val="007934EA"/>
    <w:rsid w:val="007941CD"/>
    <w:rsid w:val="007951DD"/>
    <w:rsid w:val="007953E7"/>
    <w:rsid w:val="0079628D"/>
    <w:rsid w:val="00796E0C"/>
    <w:rsid w:val="007A093C"/>
    <w:rsid w:val="007A18BE"/>
    <w:rsid w:val="007A2DAC"/>
    <w:rsid w:val="007A3A01"/>
    <w:rsid w:val="007A3BF2"/>
    <w:rsid w:val="007A5519"/>
    <w:rsid w:val="007A5881"/>
    <w:rsid w:val="007A589F"/>
    <w:rsid w:val="007A7CD8"/>
    <w:rsid w:val="007B213A"/>
    <w:rsid w:val="007B2A87"/>
    <w:rsid w:val="007B4A68"/>
    <w:rsid w:val="007B5812"/>
    <w:rsid w:val="007B5D20"/>
    <w:rsid w:val="007B6330"/>
    <w:rsid w:val="007B6706"/>
    <w:rsid w:val="007B6F28"/>
    <w:rsid w:val="007B7593"/>
    <w:rsid w:val="007C0A98"/>
    <w:rsid w:val="007C11D3"/>
    <w:rsid w:val="007C1245"/>
    <w:rsid w:val="007C124D"/>
    <w:rsid w:val="007C1E82"/>
    <w:rsid w:val="007C2172"/>
    <w:rsid w:val="007C33D4"/>
    <w:rsid w:val="007C3A9C"/>
    <w:rsid w:val="007C4609"/>
    <w:rsid w:val="007C4973"/>
    <w:rsid w:val="007C7585"/>
    <w:rsid w:val="007D05AA"/>
    <w:rsid w:val="007D137E"/>
    <w:rsid w:val="007D1AA7"/>
    <w:rsid w:val="007D1C0E"/>
    <w:rsid w:val="007D2211"/>
    <w:rsid w:val="007D24D9"/>
    <w:rsid w:val="007D42F0"/>
    <w:rsid w:val="007D4BD3"/>
    <w:rsid w:val="007D4BF4"/>
    <w:rsid w:val="007D540C"/>
    <w:rsid w:val="007D68BF"/>
    <w:rsid w:val="007D6BF5"/>
    <w:rsid w:val="007D6E1D"/>
    <w:rsid w:val="007D709F"/>
    <w:rsid w:val="007D7F88"/>
    <w:rsid w:val="007E0EA2"/>
    <w:rsid w:val="007E149E"/>
    <w:rsid w:val="007E15B7"/>
    <w:rsid w:val="007E1D76"/>
    <w:rsid w:val="007E1EBE"/>
    <w:rsid w:val="007E20BB"/>
    <w:rsid w:val="007E24AE"/>
    <w:rsid w:val="007E2914"/>
    <w:rsid w:val="007E29CF"/>
    <w:rsid w:val="007E3ED4"/>
    <w:rsid w:val="007E6E1B"/>
    <w:rsid w:val="007E6F6A"/>
    <w:rsid w:val="007E7802"/>
    <w:rsid w:val="007F20DA"/>
    <w:rsid w:val="007F219F"/>
    <w:rsid w:val="007F23AB"/>
    <w:rsid w:val="007F345B"/>
    <w:rsid w:val="007F35F8"/>
    <w:rsid w:val="007F3A28"/>
    <w:rsid w:val="007F3B3F"/>
    <w:rsid w:val="007F3B85"/>
    <w:rsid w:val="00800E58"/>
    <w:rsid w:val="008014A3"/>
    <w:rsid w:val="00802E7F"/>
    <w:rsid w:val="0080336B"/>
    <w:rsid w:val="00803D6C"/>
    <w:rsid w:val="00804B17"/>
    <w:rsid w:val="00805669"/>
    <w:rsid w:val="00810111"/>
    <w:rsid w:val="008102F3"/>
    <w:rsid w:val="008104C6"/>
    <w:rsid w:val="00811319"/>
    <w:rsid w:val="00811A2D"/>
    <w:rsid w:val="00812636"/>
    <w:rsid w:val="00812AF2"/>
    <w:rsid w:val="008141BD"/>
    <w:rsid w:val="008149F2"/>
    <w:rsid w:val="0081588D"/>
    <w:rsid w:val="00815AED"/>
    <w:rsid w:val="00816328"/>
    <w:rsid w:val="00816C33"/>
    <w:rsid w:val="00817EE8"/>
    <w:rsid w:val="00821976"/>
    <w:rsid w:val="0082203F"/>
    <w:rsid w:val="00823CF0"/>
    <w:rsid w:val="008249DC"/>
    <w:rsid w:val="0083049B"/>
    <w:rsid w:val="008328A2"/>
    <w:rsid w:val="008334B6"/>
    <w:rsid w:val="00833BD8"/>
    <w:rsid w:val="008347C4"/>
    <w:rsid w:val="008352E1"/>
    <w:rsid w:val="00836564"/>
    <w:rsid w:val="00837319"/>
    <w:rsid w:val="00842425"/>
    <w:rsid w:val="00843E2E"/>
    <w:rsid w:val="008449C1"/>
    <w:rsid w:val="00846A64"/>
    <w:rsid w:val="00847693"/>
    <w:rsid w:val="00847DF3"/>
    <w:rsid w:val="00851467"/>
    <w:rsid w:val="00852DC5"/>
    <w:rsid w:val="008536C7"/>
    <w:rsid w:val="00853B4E"/>
    <w:rsid w:val="0085437A"/>
    <w:rsid w:val="00855312"/>
    <w:rsid w:val="0085686D"/>
    <w:rsid w:val="00856D07"/>
    <w:rsid w:val="008575A9"/>
    <w:rsid w:val="0085797B"/>
    <w:rsid w:val="00861015"/>
    <w:rsid w:val="00863FA7"/>
    <w:rsid w:val="0086498F"/>
    <w:rsid w:val="00864FF7"/>
    <w:rsid w:val="00865154"/>
    <w:rsid w:val="008667E4"/>
    <w:rsid w:val="008668E5"/>
    <w:rsid w:val="008678B6"/>
    <w:rsid w:val="0087169B"/>
    <w:rsid w:val="008722BD"/>
    <w:rsid w:val="00872A9C"/>
    <w:rsid w:val="00872C6C"/>
    <w:rsid w:val="0087323B"/>
    <w:rsid w:val="00873465"/>
    <w:rsid w:val="00873B40"/>
    <w:rsid w:val="00874254"/>
    <w:rsid w:val="0087530A"/>
    <w:rsid w:val="00875442"/>
    <w:rsid w:val="008763C7"/>
    <w:rsid w:val="00877E13"/>
    <w:rsid w:val="0088117E"/>
    <w:rsid w:val="00882708"/>
    <w:rsid w:val="008835ED"/>
    <w:rsid w:val="00884584"/>
    <w:rsid w:val="00885366"/>
    <w:rsid w:val="00887BC3"/>
    <w:rsid w:val="00893091"/>
    <w:rsid w:val="00895B89"/>
    <w:rsid w:val="00895F1A"/>
    <w:rsid w:val="00896606"/>
    <w:rsid w:val="00897632"/>
    <w:rsid w:val="008A10C5"/>
    <w:rsid w:val="008A1C99"/>
    <w:rsid w:val="008A296D"/>
    <w:rsid w:val="008A428B"/>
    <w:rsid w:val="008A52B0"/>
    <w:rsid w:val="008A616C"/>
    <w:rsid w:val="008A7E58"/>
    <w:rsid w:val="008B0874"/>
    <w:rsid w:val="008B25C4"/>
    <w:rsid w:val="008B2DC0"/>
    <w:rsid w:val="008B353A"/>
    <w:rsid w:val="008B39FF"/>
    <w:rsid w:val="008B5ADB"/>
    <w:rsid w:val="008B5F33"/>
    <w:rsid w:val="008B7164"/>
    <w:rsid w:val="008C04AF"/>
    <w:rsid w:val="008C1F11"/>
    <w:rsid w:val="008C2311"/>
    <w:rsid w:val="008C5AF9"/>
    <w:rsid w:val="008C618F"/>
    <w:rsid w:val="008C67CE"/>
    <w:rsid w:val="008C68C3"/>
    <w:rsid w:val="008C6BA2"/>
    <w:rsid w:val="008C6F7F"/>
    <w:rsid w:val="008D0AEC"/>
    <w:rsid w:val="008D0B80"/>
    <w:rsid w:val="008D184C"/>
    <w:rsid w:val="008D3EE1"/>
    <w:rsid w:val="008D4E90"/>
    <w:rsid w:val="008D5009"/>
    <w:rsid w:val="008D67C5"/>
    <w:rsid w:val="008D6F40"/>
    <w:rsid w:val="008D740E"/>
    <w:rsid w:val="008E20C6"/>
    <w:rsid w:val="008E25C6"/>
    <w:rsid w:val="008E3102"/>
    <w:rsid w:val="008E472A"/>
    <w:rsid w:val="008E4840"/>
    <w:rsid w:val="008E4FD4"/>
    <w:rsid w:val="008E6977"/>
    <w:rsid w:val="008F03D0"/>
    <w:rsid w:val="008F058A"/>
    <w:rsid w:val="008F061F"/>
    <w:rsid w:val="008F15D3"/>
    <w:rsid w:val="008F2E58"/>
    <w:rsid w:val="008F4304"/>
    <w:rsid w:val="008F4520"/>
    <w:rsid w:val="008F49D9"/>
    <w:rsid w:val="008F4A1C"/>
    <w:rsid w:val="008F5A2C"/>
    <w:rsid w:val="008F6064"/>
    <w:rsid w:val="008F6F74"/>
    <w:rsid w:val="009006B8"/>
    <w:rsid w:val="00900AA8"/>
    <w:rsid w:val="00902CD9"/>
    <w:rsid w:val="00903028"/>
    <w:rsid w:val="00904D1F"/>
    <w:rsid w:val="00905067"/>
    <w:rsid w:val="00906B50"/>
    <w:rsid w:val="0090703A"/>
    <w:rsid w:val="0090784F"/>
    <w:rsid w:val="00907CAA"/>
    <w:rsid w:val="00910236"/>
    <w:rsid w:val="00911010"/>
    <w:rsid w:val="00911F0F"/>
    <w:rsid w:val="00912D94"/>
    <w:rsid w:val="00913DE3"/>
    <w:rsid w:val="00914410"/>
    <w:rsid w:val="009145EF"/>
    <w:rsid w:val="009147BD"/>
    <w:rsid w:val="009178A5"/>
    <w:rsid w:val="0091790A"/>
    <w:rsid w:val="00920E2B"/>
    <w:rsid w:val="00921E81"/>
    <w:rsid w:val="00921F9B"/>
    <w:rsid w:val="00922B99"/>
    <w:rsid w:val="00922F48"/>
    <w:rsid w:val="0092319A"/>
    <w:rsid w:val="00923924"/>
    <w:rsid w:val="009242F4"/>
    <w:rsid w:val="00924851"/>
    <w:rsid w:val="00924A00"/>
    <w:rsid w:val="00926D3D"/>
    <w:rsid w:val="0092773D"/>
    <w:rsid w:val="00930A25"/>
    <w:rsid w:val="00931744"/>
    <w:rsid w:val="00931829"/>
    <w:rsid w:val="00932147"/>
    <w:rsid w:val="00934E2E"/>
    <w:rsid w:val="0093602D"/>
    <w:rsid w:val="00937A77"/>
    <w:rsid w:val="009406D7"/>
    <w:rsid w:val="00942787"/>
    <w:rsid w:val="00942C46"/>
    <w:rsid w:val="00942C5F"/>
    <w:rsid w:val="00944568"/>
    <w:rsid w:val="009452BC"/>
    <w:rsid w:val="009460A7"/>
    <w:rsid w:val="009463A9"/>
    <w:rsid w:val="009469A8"/>
    <w:rsid w:val="009469CF"/>
    <w:rsid w:val="0095058B"/>
    <w:rsid w:val="0095351B"/>
    <w:rsid w:val="00953DFA"/>
    <w:rsid w:val="009543F7"/>
    <w:rsid w:val="0095463F"/>
    <w:rsid w:val="00955656"/>
    <w:rsid w:val="0095779B"/>
    <w:rsid w:val="009579E7"/>
    <w:rsid w:val="009605C4"/>
    <w:rsid w:val="00960EEF"/>
    <w:rsid w:val="009616E1"/>
    <w:rsid w:val="00961D4F"/>
    <w:rsid w:val="00963E77"/>
    <w:rsid w:val="009642E5"/>
    <w:rsid w:val="00965ADC"/>
    <w:rsid w:val="009660C1"/>
    <w:rsid w:val="00967ED8"/>
    <w:rsid w:val="009711E6"/>
    <w:rsid w:val="009723C9"/>
    <w:rsid w:val="00973C8C"/>
    <w:rsid w:val="00973E8F"/>
    <w:rsid w:val="00974F0F"/>
    <w:rsid w:val="0097637D"/>
    <w:rsid w:val="00976397"/>
    <w:rsid w:val="00977677"/>
    <w:rsid w:val="00980733"/>
    <w:rsid w:val="00980839"/>
    <w:rsid w:val="009823B6"/>
    <w:rsid w:val="009837B9"/>
    <w:rsid w:val="00984EA7"/>
    <w:rsid w:val="009855F8"/>
    <w:rsid w:val="00985C67"/>
    <w:rsid w:val="0098602D"/>
    <w:rsid w:val="00987CBE"/>
    <w:rsid w:val="00987E88"/>
    <w:rsid w:val="0099187F"/>
    <w:rsid w:val="0099201C"/>
    <w:rsid w:val="00992DEC"/>
    <w:rsid w:val="009931CF"/>
    <w:rsid w:val="0099375D"/>
    <w:rsid w:val="00994113"/>
    <w:rsid w:val="00994197"/>
    <w:rsid w:val="00995FDB"/>
    <w:rsid w:val="00996848"/>
    <w:rsid w:val="00997516"/>
    <w:rsid w:val="009A1BBD"/>
    <w:rsid w:val="009A2EB3"/>
    <w:rsid w:val="009A718D"/>
    <w:rsid w:val="009A77C8"/>
    <w:rsid w:val="009A7B67"/>
    <w:rsid w:val="009A7FCE"/>
    <w:rsid w:val="009B3148"/>
    <w:rsid w:val="009B57B4"/>
    <w:rsid w:val="009B5EC7"/>
    <w:rsid w:val="009B7111"/>
    <w:rsid w:val="009C111C"/>
    <w:rsid w:val="009C2F78"/>
    <w:rsid w:val="009C335B"/>
    <w:rsid w:val="009C3D84"/>
    <w:rsid w:val="009C4A2E"/>
    <w:rsid w:val="009C5345"/>
    <w:rsid w:val="009C65DA"/>
    <w:rsid w:val="009C685F"/>
    <w:rsid w:val="009C6966"/>
    <w:rsid w:val="009C6F0C"/>
    <w:rsid w:val="009C7AD3"/>
    <w:rsid w:val="009C7F81"/>
    <w:rsid w:val="009D00A5"/>
    <w:rsid w:val="009D22A3"/>
    <w:rsid w:val="009D2DEA"/>
    <w:rsid w:val="009D65CC"/>
    <w:rsid w:val="009D7B53"/>
    <w:rsid w:val="009E003A"/>
    <w:rsid w:val="009E05F1"/>
    <w:rsid w:val="009E21D1"/>
    <w:rsid w:val="009E276F"/>
    <w:rsid w:val="009E2965"/>
    <w:rsid w:val="009E2DF0"/>
    <w:rsid w:val="009E2E6D"/>
    <w:rsid w:val="009E3938"/>
    <w:rsid w:val="009E4CF0"/>
    <w:rsid w:val="009E58EF"/>
    <w:rsid w:val="009E59F1"/>
    <w:rsid w:val="009E5F0C"/>
    <w:rsid w:val="009E63EB"/>
    <w:rsid w:val="009E64C0"/>
    <w:rsid w:val="009E6727"/>
    <w:rsid w:val="009E7C19"/>
    <w:rsid w:val="009F0444"/>
    <w:rsid w:val="009F1D07"/>
    <w:rsid w:val="009F37BA"/>
    <w:rsid w:val="009F3C6F"/>
    <w:rsid w:val="009F4983"/>
    <w:rsid w:val="009F4A44"/>
    <w:rsid w:val="009F4BC1"/>
    <w:rsid w:val="009F5699"/>
    <w:rsid w:val="009F6565"/>
    <w:rsid w:val="009F6D8B"/>
    <w:rsid w:val="009F75F8"/>
    <w:rsid w:val="00A00519"/>
    <w:rsid w:val="00A015EE"/>
    <w:rsid w:val="00A024C0"/>
    <w:rsid w:val="00A027EA"/>
    <w:rsid w:val="00A02900"/>
    <w:rsid w:val="00A02ACF"/>
    <w:rsid w:val="00A03EFE"/>
    <w:rsid w:val="00A043C9"/>
    <w:rsid w:val="00A06F8A"/>
    <w:rsid w:val="00A073F1"/>
    <w:rsid w:val="00A07E5B"/>
    <w:rsid w:val="00A110C7"/>
    <w:rsid w:val="00A11CA5"/>
    <w:rsid w:val="00A123C9"/>
    <w:rsid w:val="00A13615"/>
    <w:rsid w:val="00A13730"/>
    <w:rsid w:val="00A139EB"/>
    <w:rsid w:val="00A13C51"/>
    <w:rsid w:val="00A14040"/>
    <w:rsid w:val="00A145E8"/>
    <w:rsid w:val="00A1499A"/>
    <w:rsid w:val="00A15DEA"/>
    <w:rsid w:val="00A2046E"/>
    <w:rsid w:val="00A22643"/>
    <w:rsid w:val="00A22E6C"/>
    <w:rsid w:val="00A23AA5"/>
    <w:rsid w:val="00A24251"/>
    <w:rsid w:val="00A24328"/>
    <w:rsid w:val="00A26409"/>
    <w:rsid w:val="00A26F05"/>
    <w:rsid w:val="00A300F4"/>
    <w:rsid w:val="00A3218F"/>
    <w:rsid w:val="00A32F62"/>
    <w:rsid w:val="00A32F74"/>
    <w:rsid w:val="00A3374A"/>
    <w:rsid w:val="00A33CEC"/>
    <w:rsid w:val="00A37C25"/>
    <w:rsid w:val="00A41A88"/>
    <w:rsid w:val="00A42562"/>
    <w:rsid w:val="00A4289A"/>
    <w:rsid w:val="00A43D30"/>
    <w:rsid w:val="00A44C7F"/>
    <w:rsid w:val="00A452C7"/>
    <w:rsid w:val="00A45339"/>
    <w:rsid w:val="00A464ED"/>
    <w:rsid w:val="00A47AF8"/>
    <w:rsid w:val="00A50084"/>
    <w:rsid w:val="00A502C4"/>
    <w:rsid w:val="00A506FE"/>
    <w:rsid w:val="00A507CF"/>
    <w:rsid w:val="00A510D5"/>
    <w:rsid w:val="00A51490"/>
    <w:rsid w:val="00A5305D"/>
    <w:rsid w:val="00A541E1"/>
    <w:rsid w:val="00A54E45"/>
    <w:rsid w:val="00A54F0E"/>
    <w:rsid w:val="00A550B5"/>
    <w:rsid w:val="00A5515C"/>
    <w:rsid w:val="00A5635E"/>
    <w:rsid w:val="00A57631"/>
    <w:rsid w:val="00A57E10"/>
    <w:rsid w:val="00A610E2"/>
    <w:rsid w:val="00A61E38"/>
    <w:rsid w:val="00A629BD"/>
    <w:rsid w:val="00A6468D"/>
    <w:rsid w:val="00A64E05"/>
    <w:rsid w:val="00A64E89"/>
    <w:rsid w:val="00A6648A"/>
    <w:rsid w:val="00A67AE0"/>
    <w:rsid w:val="00A72136"/>
    <w:rsid w:val="00A75059"/>
    <w:rsid w:val="00A75FEF"/>
    <w:rsid w:val="00A76956"/>
    <w:rsid w:val="00A76B31"/>
    <w:rsid w:val="00A76C49"/>
    <w:rsid w:val="00A771CB"/>
    <w:rsid w:val="00A80CEF"/>
    <w:rsid w:val="00A8198D"/>
    <w:rsid w:val="00A8210A"/>
    <w:rsid w:val="00A83B23"/>
    <w:rsid w:val="00A8498E"/>
    <w:rsid w:val="00A8523F"/>
    <w:rsid w:val="00A85762"/>
    <w:rsid w:val="00A87136"/>
    <w:rsid w:val="00A87CA9"/>
    <w:rsid w:val="00A90540"/>
    <w:rsid w:val="00A92F82"/>
    <w:rsid w:val="00A94C54"/>
    <w:rsid w:val="00A95E22"/>
    <w:rsid w:val="00A9763E"/>
    <w:rsid w:val="00AA16A9"/>
    <w:rsid w:val="00AA46DD"/>
    <w:rsid w:val="00AA7448"/>
    <w:rsid w:val="00AA7A58"/>
    <w:rsid w:val="00AA7EDE"/>
    <w:rsid w:val="00AA7FBF"/>
    <w:rsid w:val="00AB1575"/>
    <w:rsid w:val="00AB1A57"/>
    <w:rsid w:val="00AB20FD"/>
    <w:rsid w:val="00AB24C7"/>
    <w:rsid w:val="00AB2F96"/>
    <w:rsid w:val="00AB3DB3"/>
    <w:rsid w:val="00AB414D"/>
    <w:rsid w:val="00AB56E5"/>
    <w:rsid w:val="00AB6291"/>
    <w:rsid w:val="00AB6765"/>
    <w:rsid w:val="00AB6CE7"/>
    <w:rsid w:val="00AB742A"/>
    <w:rsid w:val="00AB751B"/>
    <w:rsid w:val="00AC2A8F"/>
    <w:rsid w:val="00AC5FC6"/>
    <w:rsid w:val="00AC67B0"/>
    <w:rsid w:val="00AC75B9"/>
    <w:rsid w:val="00AD08E7"/>
    <w:rsid w:val="00AD1C86"/>
    <w:rsid w:val="00AD2480"/>
    <w:rsid w:val="00AD2656"/>
    <w:rsid w:val="00AD31D7"/>
    <w:rsid w:val="00AD4132"/>
    <w:rsid w:val="00AD444A"/>
    <w:rsid w:val="00AD64AE"/>
    <w:rsid w:val="00AD7B1E"/>
    <w:rsid w:val="00AE0063"/>
    <w:rsid w:val="00AE01F2"/>
    <w:rsid w:val="00AE046E"/>
    <w:rsid w:val="00AE0F07"/>
    <w:rsid w:val="00AE194C"/>
    <w:rsid w:val="00AE328D"/>
    <w:rsid w:val="00AE3BE2"/>
    <w:rsid w:val="00AE40A1"/>
    <w:rsid w:val="00AE4930"/>
    <w:rsid w:val="00AE4F88"/>
    <w:rsid w:val="00AE570D"/>
    <w:rsid w:val="00AE5BF3"/>
    <w:rsid w:val="00AE7B92"/>
    <w:rsid w:val="00AE7DAB"/>
    <w:rsid w:val="00AF0059"/>
    <w:rsid w:val="00AF07E4"/>
    <w:rsid w:val="00AF22D2"/>
    <w:rsid w:val="00AF23C1"/>
    <w:rsid w:val="00AF2894"/>
    <w:rsid w:val="00AF3681"/>
    <w:rsid w:val="00AF3772"/>
    <w:rsid w:val="00AF6398"/>
    <w:rsid w:val="00B01529"/>
    <w:rsid w:val="00B01679"/>
    <w:rsid w:val="00B0203B"/>
    <w:rsid w:val="00B0379E"/>
    <w:rsid w:val="00B03AAB"/>
    <w:rsid w:val="00B03B18"/>
    <w:rsid w:val="00B03FC9"/>
    <w:rsid w:val="00B04167"/>
    <w:rsid w:val="00B05F73"/>
    <w:rsid w:val="00B07591"/>
    <w:rsid w:val="00B10C04"/>
    <w:rsid w:val="00B14035"/>
    <w:rsid w:val="00B147D9"/>
    <w:rsid w:val="00B1580A"/>
    <w:rsid w:val="00B16405"/>
    <w:rsid w:val="00B16646"/>
    <w:rsid w:val="00B16F12"/>
    <w:rsid w:val="00B17F96"/>
    <w:rsid w:val="00B20ACD"/>
    <w:rsid w:val="00B245E4"/>
    <w:rsid w:val="00B25035"/>
    <w:rsid w:val="00B26605"/>
    <w:rsid w:val="00B2678A"/>
    <w:rsid w:val="00B27482"/>
    <w:rsid w:val="00B2773E"/>
    <w:rsid w:val="00B2779D"/>
    <w:rsid w:val="00B279FC"/>
    <w:rsid w:val="00B311A6"/>
    <w:rsid w:val="00B31896"/>
    <w:rsid w:val="00B31A9D"/>
    <w:rsid w:val="00B31CB0"/>
    <w:rsid w:val="00B3205F"/>
    <w:rsid w:val="00B33050"/>
    <w:rsid w:val="00B34FD4"/>
    <w:rsid w:val="00B35398"/>
    <w:rsid w:val="00B35B52"/>
    <w:rsid w:val="00B36799"/>
    <w:rsid w:val="00B36F5A"/>
    <w:rsid w:val="00B42EDB"/>
    <w:rsid w:val="00B43A8D"/>
    <w:rsid w:val="00B44403"/>
    <w:rsid w:val="00B449D6"/>
    <w:rsid w:val="00B458FE"/>
    <w:rsid w:val="00B45C73"/>
    <w:rsid w:val="00B45E0D"/>
    <w:rsid w:val="00B475D5"/>
    <w:rsid w:val="00B50B92"/>
    <w:rsid w:val="00B51605"/>
    <w:rsid w:val="00B51E7E"/>
    <w:rsid w:val="00B52C64"/>
    <w:rsid w:val="00B5420C"/>
    <w:rsid w:val="00B542AE"/>
    <w:rsid w:val="00B545FA"/>
    <w:rsid w:val="00B56160"/>
    <w:rsid w:val="00B56577"/>
    <w:rsid w:val="00B574EE"/>
    <w:rsid w:val="00B5779E"/>
    <w:rsid w:val="00B57915"/>
    <w:rsid w:val="00B57944"/>
    <w:rsid w:val="00B603BD"/>
    <w:rsid w:val="00B60AA2"/>
    <w:rsid w:val="00B6226E"/>
    <w:rsid w:val="00B624D8"/>
    <w:rsid w:val="00B6377A"/>
    <w:rsid w:val="00B63BEF"/>
    <w:rsid w:val="00B64834"/>
    <w:rsid w:val="00B666C3"/>
    <w:rsid w:val="00B66836"/>
    <w:rsid w:val="00B66E9E"/>
    <w:rsid w:val="00B6705E"/>
    <w:rsid w:val="00B67374"/>
    <w:rsid w:val="00B70262"/>
    <w:rsid w:val="00B7113D"/>
    <w:rsid w:val="00B71D73"/>
    <w:rsid w:val="00B72AA1"/>
    <w:rsid w:val="00B72AB3"/>
    <w:rsid w:val="00B72E99"/>
    <w:rsid w:val="00B734CD"/>
    <w:rsid w:val="00B73F84"/>
    <w:rsid w:val="00B755C1"/>
    <w:rsid w:val="00B81418"/>
    <w:rsid w:val="00B82470"/>
    <w:rsid w:val="00B8288D"/>
    <w:rsid w:val="00B83675"/>
    <w:rsid w:val="00B83878"/>
    <w:rsid w:val="00B83C3C"/>
    <w:rsid w:val="00B85412"/>
    <w:rsid w:val="00B86663"/>
    <w:rsid w:val="00B90E83"/>
    <w:rsid w:val="00B9188C"/>
    <w:rsid w:val="00B91908"/>
    <w:rsid w:val="00B936AB"/>
    <w:rsid w:val="00B9617C"/>
    <w:rsid w:val="00B96A9D"/>
    <w:rsid w:val="00B97B41"/>
    <w:rsid w:val="00BA081A"/>
    <w:rsid w:val="00BA1C53"/>
    <w:rsid w:val="00BA2ABF"/>
    <w:rsid w:val="00BA3310"/>
    <w:rsid w:val="00BA45DA"/>
    <w:rsid w:val="00BA61F6"/>
    <w:rsid w:val="00BA7493"/>
    <w:rsid w:val="00BB0A94"/>
    <w:rsid w:val="00BB0E24"/>
    <w:rsid w:val="00BB1438"/>
    <w:rsid w:val="00BB1648"/>
    <w:rsid w:val="00BB2327"/>
    <w:rsid w:val="00BB263C"/>
    <w:rsid w:val="00BB2D3F"/>
    <w:rsid w:val="00BB5A74"/>
    <w:rsid w:val="00BB67F3"/>
    <w:rsid w:val="00BC1C0B"/>
    <w:rsid w:val="00BC407B"/>
    <w:rsid w:val="00BC4391"/>
    <w:rsid w:val="00BC6DEA"/>
    <w:rsid w:val="00BD0222"/>
    <w:rsid w:val="00BD0879"/>
    <w:rsid w:val="00BD0A79"/>
    <w:rsid w:val="00BD0DB1"/>
    <w:rsid w:val="00BD0EC3"/>
    <w:rsid w:val="00BD2711"/>
    <w:rsid w:val="00BD2A55"/>
    <w:rsid w:val="00BD3308"/>
    <w:rsid w:val="00BD393B"/>
    <w:rsid w:val="00BD3E0F"/>
    <w:rsid w:val="00BD4D78"/>
    <w:rsid w:val="00BD53DC"/>
    <w:rsid w:val="00BD62B7"/>
    <w:rsid w:val="00BD658E"/>
    <w:rsid w:val="00BD65BE"/>
    <w:rsid w:val="00BE12DC"/>
    <w:rsid w:val="00BE15B3"/>
    <w:rsid w:val="00BE1E5E"/>
    <w:rsid w:val="00BE2C43"/>
    <w:rsid w:val="00BE5069"/>
    <w:rsid w:val="00BE5399"/>
    <w:rsid w:val="00BE554E"/>
    <w:rsid w:val="00BE5992"/>
    <w:rsid w:val="00BE5CFD"/>
    <w:rsid w:val="00BE5FBD"/>
    <w:rsid w:val="00BE70BF"/>
    <w:rsid w:val="00BE7117"/>
    <w:rsid w:val="00BF031D"/>
    <w:rsid w:val="00BF1117"/>
    <w:rsid w:val="00BF136A"/>
    <w:rsid w:val="00BF14A4"/>
    <w:rsid w:val="00BF1A83"/>
    <w:rsid w:val="00BF21A2"/>
    <w:rsid w:val="00BF22A7"/>
    <w:rsid w:val="00BF3126"/>
    <w:rsid w:val="00BF3583"/>
    <w:rsid w:val="00BF4806"/>
    <w:rsid w:val="00BF505F"/>
    <w:rsid w:val="00BF577E"/>
    <w:rsid w:val="00BF68DD"/>
    <w:rsid w:val="00BF6D7C"/>
    <w:rsid w:val="00BF72AC"/>
    <w:rsid w:val="00BF73CE"/>
    <w:rsid w:val="00BF7DF4"/>
    <w:rsid w:val="00BF7DF6"/>
    <w:rsid w:val="00C001B2"/>
    <w:rsid w:val="00C01260"/>
    <w:rsid w:val="00C02573"/>
    <w:rsid w:val="00C0347E"/>
    <w:rsid w:val="00C0389C"/>
    <w:rsid w:val="00C03C01"/>
    <w:rsid w:val="00C042AE"/>
    <w:rsid w:val="00C0466C"/>
    <w:rsid w:val="00C04C69"/>
    <w:rsid w:val="00C0660C"/>
    <w:rsid w:val="00C11892"/>
    <w:rsid w:val="00C12591"/>
    <w:rsid w:val="00C12A2D"/>
    <w:rsid w:val="00C1307A"/>
    <w:rsid w:val="00C1383E"/>
    <w:rsid w:val="00C1412C"/>
    <w:rsid w:val="00C14DE9"/>
    <w:rsid w:val="00C151A2"/>
    <w:rsid w:val="00C166FF"/>
    <w:rsid w:val="00C16C45"/>
    <w:rsid w:val="00C16D18"/>
    <w:rsid w:val="00C21633"/>
    <w:rsid w:val="00C2220D"/>
    <w:rsid w:val="00C22E7C"/>
    <w:rsid w:val="00C23A18"/>
    <w:rsid w:val="00C23B51"/>
    <w:rsid w:val="00C23C0D"/>
    <w:rsid w:val="00C256D1"/>
    <w:rsid w:val="00C26018"/>
    <w:rsid w:val="00C2606D"/>
    <w:rsid w:val="00C26E2B"/>
    <w:rsid w:val="00C3063F"/>
    <w:rsid w:val="00C31472"/>
    <w:rsid w:val="00C318F7"/>
    <w:rsid w:val="00C31C22"/>
    <w:rsid w:val="00C31E4A"/>
    <w:rsid w:val="00C31EE4"/>
    <w:rsid w:val="00C32654"/>
    <w:rsid w:val="00C32818"/>
    <w:rsid w:val="00C328BD"/>
    <w:rsid w:val="00C32D76"/>
    <w:rsid w:val="00C33481"/>
    <w:rsid w:val="00C339B0"/>
    <w:rsid w:val="00C346E2"/>
    <w:rsid w:val="00C353BF"/>
    <w:rsid w:val="00C35DF8"/>
    <w:rsid w:val="00C3680D"/>
    <w:rsid w:val="00C376D2"/>
    <w:rsid w:val="00C37A94"/>
    <w:rsid w:val="00C419B1"/>
    <w:rsid w:val="00C42582"/>
    <w:rsid w:val="00C43B8E"/>
    <w:rsid w:val="00C43BFD"/>
    <w:rsid w:val="00C45908"/>
    <w:rsid w:val="00C45A0A"/>
    <w:rsid w:val="00C45A9D"/>
    <w:rsid w:val="00C45BBB"/>
    <w:rsid w:val="00C46536"/>
    <w:rsid w:val="00C470F4"/>
    <w:rsid w:val="00C4777E"/>
    <w:rsid w:val="00C510F2"/>
    <w:rsid w:val="00C522DE"/>
    <w:rsid w:val="00C523AF"/>
    <w:rsid w:val="00C5272D"/>
    <w:rsid w:val="00C529F4"/>
    <w:rsid w:val="00C52DAE"/>
    <w:rsid w:val="00C532AE"/>
    <w:rsid w:val="00C53F39"/>
    <w:rsid w:val="00C5429E"/>
    <w:rsid w:val="00C54580"/>
    <w:rsid w:val="00C5478E"/>
    <w:rsid w:val="00C55AD1"/>
    <w:rsid w:val="00C56E36"/>
    <w:rsid w:val="00C57458"/>
    <w:rsid w:val="00C6125D"/>
    <w:rsid w:val="00C61661"/>
    <w:rsid w:val="00C62443"/>
    <w:rsid w:val="00C62647"/>
    <w:rsid w:val="00C64EA3"/>
    <w:rsid w:val="00C6548B"/>
    <w:rsid w:val="00C664A4"/>
    <w:rsid w:val="00C66828"/>
    <w:rsid w:val="00C66A1C"/>
    <w:rsid w:val="00C70148"/>
    <w:rsid w:val="00C70274"/>
    <w:rsid w:val="00C702F3"/>
    <w:rsid w:val="00C70472"/>
    <w:rsid w:val="00C70EAD"/>
    <w:rsid w:val="00C71832"/>
    <w:rsid w:val="00C729A1"/>
    <w:rsid w:val="00C7325E"/>
    <w:rsid w:val="00C73271"/>
    <w:rsid w:val="00C746FF"/>
    <w:rsid w:val="00C75E96"/>
    <w:rsid w:val="00C7612E"/>
    <w:rsid w:val="00C766BE"/>
    <w:rsid w:val="00C8210D"/>
    <w:rsid w:val="00C82BF3"/>
    <w:rsid w:val="00C82FC0"/>
    <w:rsid w:val="00C84A1C"/>
    <w:rsid w:val="00C853B7"/>
    <w:rsid w:val="00C87F74"/>
    <w:rsid w:val="00C90745"/>
    <w:rsid w:val="00C9122E"/>
    <w:rsid w:val="00C928F0"/>
    <w:rsid w:val="00C93638"/>
    <w:rsid w:val="00C93F6A"/>
    <w:rsid w:val="00C9492B"/>
    <w:rsid w:val="00C95BD8"/>
    <w:rsid w:val="00C95CAE"/>
    <w:rsid w:val="00C96081"/>
    <w:rsid w:val="00C97578"/>
    <w:rsid w:val="00C97961"/>
    <w:rsid w:val="00CA03F5"/>
    <w:rsid w:val="00CA1679"/>
    <w:rsid w:val="00CA2082"/>
    <w:rsid w:val="00CA3378"/>
    <w:rsid w:val="00CA4D07"/>
    <w:rsid w:val="00CA5744"/>
    <w:rsid w:val="00CA5AE5"/>
    <w:rsid w:val="00CA62FA"/>
    <w:rsid w:val="00CA67D5"/>
    <w:rsid w:val="00CA7FAF"/>
    <w:rsid w:val="00CB0C32"/>
    <w:rsid w:val="00CB22DF"/>
    <w:rsid w:val="00CB36CA"/>
    <w:rsid w:val="00CB49E7"/>
    <w:rsid w:val="00CB4BC1"/>
    <w:rsid w:val="00CB5834"/>
    <w:rsid w:val="00CB5978"/>
    <w:rsid w:val="00CB6CF9"/>
    <w:rsid w:val="00CB6F08"/>
    <w:rsid w:val="00CC063E"/>
    <w:rsid w:val="00CC1713"/>
    <w:rsid w:val="00CC21A8"/>
    <w:rsid w:val="00CC2422"/>
    <w:rsid w:val="00CC2D89"/>
    <w:rsid w:val="00CC3923"/>
    <w:rsid w:val="00CC4697"/>
    <w:rsid w:val="00CC4AB4"/>
    <w:rsid w:val="00CC4BBF"/>
    <w:rsid w:val="00CC4DD8"/>
    <w:rsid w:val="00CC6421"/>
    <w:rsid w:val="00CD1EA3"/>
    <w:rsid w:val="00CD25AF"/>
    <w:rsid w:val="00CD2C22"/>
    <w:rsid w:val="00CD32D6"/>
    <w:rsid w:val="00CD6B86"/>
    <w:rsid w:val="00CD7613"/>
    <w:rsid w:val="00CE05C6"/>
    <w:rsid w:val="00CE1ADE"/>
    <w:rsid w:val="00CE1F09"/>
    <w:rsid w:val="00CE3118"/>
    <w:rsid w:val="00CE31FA"/>
    <w:rsid w:val="00CE361B"/>
    <w:rsid w:val="00CE48BA"/>
    <w:rsid w:val="00CE4946"/>
    <w:rsid w:val="00CE535C"/>
    <w:rsid w:val="00CE55C6"/>
    <w:rsid w:val="00CE64E6"/>
    <w:rsid w:val="00CE6B72"/>
    <w:rsid w:val="00CE6D2B"/>
    <w:rsid w:val="00CE77A9"/>
    <w:rsid w:val="00CF01A0"/>
    <w:rsid w:val="00CF05E1"/>
    <w:rsid w:val="00CF06FC"/>
    <w:rsid w:val="00CF08F7"/>
    <w:rsid w:val="00CF149A"/>
    <w:rsid w:val="00CF2A85"/>
    <w:rsid w:val="00CF4833"/>
    <w:rsid w:val="00CF4992"/>
    <w:rsid w:val="00CF54D7"/>
    <w:rsid w:val="00D0118A"/>
    <w:rsid w:val="00D01E16"/>
    <w:rsid w:val="00D0236D"/>
    <w:rsid w:val="00D0307B"/>
    <w:rsid w:val="00D0367F"/>
    <w:rsid w:val="00D04445"/>
    <w:rsid w:val="00D04F75"/>
    <w:rsid w:val="00D06725"/>
    <w:rsid w:val="00D0710A"/>
    <w:rsid w:val="00D13867"/>
    <w:rsid w:val="00D13BB2"/>
    <w:rsid w:val="00D15A4F"/>
    <w:rsid w:val="00D15D79"/>
    <w:rsid w:val="00D16CCD"/>
    <w:rsid w:val="00D2016F"/>
    <w:rsid w:val="00D20B00"/>
    <w:rsid w:val="00D23C71"/>
    <w:rsid w:val="00D23E6F"/>
    <w:rsid w:val="00D244A2"/>
    <w:rsid w:val="00D24E24"/>
    <w:rsid w:val="00D254FB"/>
    <w:rsid w:val="00D26254"/>
    <w:rsid w:val="00D266E6"/>
    <w:rsid w:val="00D27933"/>
    <w:rsid w:val="00D309FE"/>
    <w:rsid w:val="00D30E88"/>
    <w:rsid w:val="00D315DA"/>
    <w:rsid w:val="00D32956"/>
    <w:rsid w:val="00D33C01"/>
    <w:rsid w:val="00D33C91"/>
    <w:rsid w:val="00D34B95"/>
    <w:rsid w:val="00D351CD"/>
    <w:rsid w:val="00D37535"/>
    <w:rsid w:val="00D37C04"/>
    <w:rsid w:val="00D37EB0"/>
    <w:rsid w:val="00D405EB"/>
    <w:rsid w:val="00D415DC"/>
    <w:rsid w:val="00D416C7"/>
    <w:rsid w:val="00D42B61"/>
    <w:rsid w:val="00D42C8E"/>
    <w:rsid w:val="00D44A3F"/>
    <w:rsid w:val="00D44B2D"/>
    <w:rsid w:val="00D4515E"/>
    <w:rsid w:val="00D4554D"/>
    <w:rsid w:val="00D457D8"/>
    <w:rsid w:val="00D45A44"/>
    <w:rsid w:val="00D46547"/>
    <w:rsid w:val="00D46E89"/>
    <w:rsid w:val="00D474D1"/>
    <w:rsid w:val="00D47BBE"/>
    <w:rsid w:val="00D52006"/>
    <w:rsid w:val="00D52225"/>
    <w:rsid w:val="00D528E9"/>
    <w:rsid w:val="00D53F47"/>
    <w:rsid w:val="00D545B1"/>
    <w:rsid w:val="00D5522E"/>
    <w:rsid w:val="00D552B0"/>
    <w:rsid w:val="00D554D9"/>
    <w:rsid w:val="00D56154"/>
    <w:rsid w:val="00D608ED"/>
    <w:rsid w:val="00D610B1"/>
    <w:rsid w:val="00D6295A"/>
    <w:rsid w:val="00D6429C"/>
    <w:rsid w:val="00D64E62"/>
    <w:rsid w:val="00D664BE"/>
    <w:rsid w:val="00D7091C"/>
    <w:rsid w:val="00D71ABE"/>
    <w:rsid w:val="00D720AC"/>
    <w:rsid w:val="00D7327A"/>
    <w:rsid w:val="00D7442C"/>
    <w:rsid w:val="00D75255"/>
    <w:rsid w:val="00D7572F"/>
    <w:rsid w:val="00D76BF5"/>
    <w:rsid w:val="00D76E90"/>
    <w:rsid w:val="00D77C26"/>
    <w:rsid w:val="00D77C8E"/>
    <w:rsid w:val="00D77E73"/>
    <w:rsid w:val="00D818E0"/>
    <w:rsid w:val="00D83BB1"/>
    <w:rsid w:val="00D85319"/>
    <w:rsid w:val="00D866C7"/>
    <w:rsid w:val="00D86D5B"/>
    <w:rsid w:val="00D86F71"/>
    <w:rsid w:val="00D87D62"/>
    <w:rsid w:val="00D903AB"/>
    <w:rsid w:val="00D90B9B"/>
    <w:rsid w:val="00D931C0"/>
    <w:rsid w:val="00D9373C"/>
    <w:rsid w:val="00D93DB5"/>
    <w:rsid w:val="00D95C64"/>
    <w:rsid w:val="00D96E3E"/>
    <w:rsid w:val="00DA1069"/>
    <w:rsid w:val="00DA13F2"/>
    <w:rsid w:val="00DA31A9"/>
    <w:rsid w:val="00DA3366"/>
    <w:rsid w:val="00DA3F04"/>
    <w:rsid w:val="00DA47FB"/>
    <w:rsid w:val="00DA4AEE"/>
    <w:rsid w:val="00DA6039"/>
    <w:rsid w:val="00DA6510"/>
    <w:rsid w:val="00DA67A2"/>
    <w:rsid w:val="00DA7299"/>
    <w:rsid w:val="00DA7AED"/>
    <w:rsid w:val="00DA7D23"/>
    <w:rsid w:val="00DB0211"/>
    <w:rsid w:val="00DB3B32"/>
    <w:rsid w:val="00DB40FD"/>
    <w:rsid w:val="00DB434E"/>
    <w:rsid w:val="00DB4FFA"/>
    <w:rsid w:val="00DB5A87"/>
    <w:rsid w:val="00DB7399"/>
    <w:rsid w:val="00DC0038"/>
    <w:rsid w:val="00DC0795"/>
    <w:rsid w:val="00DC0D5E"/>
    <w:rsid w:val="00DC108F"/>
    <w:rsid w:val="00DC2198"/>
    <w:rsid w:val="00DC293A"/>
    <w:rsid w:val="00DC415A"/>
    <w:rsid w:val="00DC440F"/>
    <w:rsid w:val="00DC52C9"/>
    <w:rsid w:val="00DC5D95"/>
    <w:rsid w:val="00DC6044"/>
    <w:rsid w:val="00DD02EB"/>
    <w:rsid w:val="00DD1128"/>
    <w:rsid w:val="00DD158B"/>
    <w:rsid w:val="00DD18ED"/>
    <w:rsid w:val="00DD3100"/>
    <w:rsid w:val="00DD3876"/>
    <w:rsid w:val="00DD4374"/>
    <w:rsid w:val="00DD513D"/>
    <w:rsid w:val="00DD529C"/>
    <w:rsid w:val="00DD7160"/>
    <w:rsid w:val="00DE067E"/>
    <w:rsid w:val="00DE1735"/>
    <w:rsid w:val="00DE2491"/>
    <w:rsid w:val="00DE289C"/>
    <w:rsid w:val="00DE2DFE"/>
    <w:rsid w:val="00DE3DBD"/>
    <w:rsid w:val="00DE422B"/>
    <w:rsid w:val="00DE53CC"/>
    <w:rsid w:val="00DE55E5"/>
    <w:rsid w:val="00DE5A35"/>
    <w:rsid w:val="00DE5A45"/>
    <w:rsid w:val="00DE6915"/>
    <w:rsid w:val="00DF0C29"/>
    <w:rsid w:val="00DF253D"/>
    <w:rsid w:val="00DF254C"/>
    <w:rsid w:val="00DF2AB7"/>
    <w:rsid w:val="00DF2AC5"/>
    <w:rsid w:val="00DF2C4F"/>
    <w:rsid w:val="00DF41E3"/>
    <w:rsid w:val="00DF46DD"/>
    <w:rsid w:val="00DF7629"/>
    <w:rsid w:val="00DF7AFB"/>
    <w:rsid w:val="00E03A9F"/>
    <w:rsid w:val="00E05EEA"/>
    <w:rsid w:val="00E066F5"/>
    <w:rsid w:val="00E070CD"/>
    <w:rsid w:val="00E110F6"/>
    <w:rsid w:val="00E14281"/>
    <w:rsid w:val="00E145E9"/>
    <w:rsid w:val="00E1498E"/>
    <w:rsid w:val="00E16087"/>
    <w:rsid w:val="00E16E21"/>
    <w:rsid w:val="00E17115"/>
    <w:rsid w:val="00E179DE"/>
    <w:rsid w:val="00E215A4"/>
    <w:rsid w:val="00E218D7"/>
    <w:rsid w:val="00E22950"/>
    <w:rsid w:val="00E23837"/>
    <w:rsid w:val="00E24576"/>
    <w:rsid w:val="00E2478E"/>
    <w:rsid w:val="00E2492C"/>
    <w:rsid w:val="00E24B38"/>
    <w:rsid w:val="00E25501"/>
    <w:rsid w:val="00E25690"/>
    <w:rsid w:val="00E25EB6"/>
    <w:rsid w:val="00E27055"/>
    <w:rsid w:val="00E301E0"/>
    <w:rsid w:val="00E302CD"/>
    <w:rsid w:val="00E309BE"/>
    <w:rsid w:val="00E31D1C"/>
    <w:rsid w:val="00E3270D"/>
    <w:rsid w:val="00E340FE"/>
    <w:rsid w:val="00E3410D"/>
    <w:rsid w:val="00E34458"/>
    <w:rsid w:val="00E34740"/>
    <w:rsid w:val="00E34975"/>
    <w:rsid w:val="00E34ABA"/>
    <w:rsid w:val="00E35C6C"/>
    <w:rsid w:val="00E35CF1"/>
    <w:rsid w:val="00E36196"/>
    <w:rsid w:val="00E372B9"/>
    <w:rsid w:val="00E4093D"/>
    <w:rsid w:val="00E40BE4"/>
    <w:rsid w:val="00E417F0"/>
    <w:rsid w:val="00E425D4"/>
    <w:rsid w:val="00E4333A"/>
    <w:rsid w:val="00E439DC"/>
    <w:rsid w:val="00E43EB0"/>
    <w:rsid w:val="00E4440E"/>
    <w:rsid w:val="00E4483E"/>
    <w:rsid w:val="00E45262"/>
    <w:rsid w:val="00E465E3"/>
    <w:rsid w:val="00E5040C"/>
    <w:rsid w:val="00E516F3"/>
    <w:rsid w:val="00E534C6"/>
    <w:rsid w:val="00E538B7"/>
    <w:rsid w:val="00E539B8"/>
    <w:rsid w:val="00E53CB3"/>
    <w:rsid w:val="00E54D15"/>
    <w:rsid w:val="00E55C08"/>
    <w:rsid w:val="00E56B9E"/>
    <w:rsid w:val="00E60651"/>
    <w:rsid w:val="00E62357"/>
    <w:rsid w:val="00E62E04"/>
    <w:rsid w:val="00E64CDD"/>
    <w:rsid w:val="00E651ED"/>
    <w:rsid w:val="00E654A3"/>
    <w:rsid w:val="00E65EE5"/>
    <w:rsid w:val="00E66D50"/>
    <w:rsid w:val="00E675F9"/>
    <w:rsid w:val="00E7032B"/>
    <w:rsid w:val="00E73502"/>
    <w:rsid w:val="00E7452D"/>
    <w:rsid w:val="00E77033"/>
    <w:rsid w:val="00E8084B"/>
    <w:rsid w:val="00E81726"/>
    <w:rsid w:val="00E81E49"/>
    <w:rsid w:val="00E83697"/>
    <w:rsid w:val="00E83823"/>
    <w:rsid w:val="00E859F8"/>
    <w:rsid w:val="00E85B34"/>
    <w:rsid w:val="00E85EBB"/>
    <w:rsid w:val="00E90B2B"/>
    <w:rsid w:val="00E90BC4"/>
    <w:rsid w:val="00E910F3"/>
    <w:rsid w:val="00E9161E"/>
    <w:rsid w:val="00E92C38"/>
    <w:rsid w:val="00E96309"/>
    <w:rsid w:val="00E97509"/>
    <w:rsid w:val="00E976E9"/>
    <w:rsid w:val="00EA0E71"/>
    <w:rsid w:val="00EA1D2B"/>
    <w:rsid w:val="00EA1D44"/>
    <w:rsid w:val="00EA24F9"/>
    <w:rsid w:val="00EA394A"/>
    <w:rsid w:val="00EA42D9"/>
    <w:rsid w:val="00EA4566"/>
    <w:rsid w:val="00EA4813"/>
    <w:rsid w:val="00EA5082"/>
    <w:rsid w:val="00EA7941"/>
    <w:rsid w:val="00EB0019"/>
    <w:rsid w:val="00EB0654"/>
    <w:rsid w:val="00EB1060"/>
    <w:rsid w:val="00EB12CE"/>
    <w:rsid w:val="00EB2061"/>
    <w:rsid w:val="00EB28AB"/>
    <w:rsid w:val="00EB2A97"/>
    <w:rsid w:val="00EB5957"/>
    <w:rsid w:val="00EB6068"/>
    <w:rsid w:val="00EB6381"/>
    <w:rsid w:val="00EB70B5"/>
    <w:rsid w:val="00EB76C5"/>
    <w:rsid w:val="00EB7742"/>
    <w:rsid w:val="00EC0AAD"/>
    <w:rsid w:val="00EC208D"/>
    <w:rsid w:val="00EC2C2D"/>
    <w:rsid w:val="00EC2C82"/>
    <w:rsid w:val="00EC432C"/>
    <w:rsid w:val="00EC6DC6"/>
    <w:rsid w:val="00EC7361"/>
    <w:rsid w:val="00EC7A81"/>
    <w:rsid w:val="00ED0180"/>
    <w:rsid w:val="00ED0A49"/>
    <w:rsid w:val="00ED16DC"/>
    <w:rsid w:val="00ED1F96"/>
    <w:rsid w:val="00ED5AB7"/>
    <w:rsid w:val="00ED6594"/>
    <w:rsid w:val="00ED72B8"/>
    <w:rsid w:val="00ED7C43"/>
    <w:rsid w:val="00EE077A"/>
    <w:rsid w:val="00EE115B"/>
    <w:rsid w:val="00EE231F"/>
    <w:rsid w:val="00EE23C3"/>
    <w:rsid w:val="00EE3462"/>
    <w:rsid w:val="00EE56A6"/>
    <w:rsid w:val="00EE5831"/>
    <w:rsid w:val="00EE5A03"/>
    <w:rsid w:val="00EE7201"/>
    <w:rsid w:val="00EE7215"/>
    <w:rsid w:val="00EE752A"/>
    <w:rsid w:val="00EE782C"/>
    <w:rsid w:val="00EF1A6E"/>
    <w:rsid w:val="00EF1A73"/>
    <w:rsid w:val="00EF1F45"/>
    <w:rsid w:val="00EF2869"/>
    <w:rsid w:val="00EF3AD5"/>
    <w:rsid w:val="00EF4562"/>
    <w:rsid w:val="00EF49B3"/>
    <w:rsid w:val="00EF4F41"/>
    <w:rsid w:val="00EF5F2D"/>
    <w:rsid w:val="00EF6481"/>
    <w:rsid w:val="00EF7A20"/>
    <w:rsid w:val="00F00F06"/>
    <w:rsid w:val="00F0154D"/>
    <w:rsid w:val="00F0249F"/>
    <w:rsid w:val="00F02C25"/>
    <w:rsid w:val="00F04C5E"/>
    <w:rsid w:val="00F04F1D"/>
    <w:rsid w:val="00F0607E"/>
    <w:rsid w:val="00F06A24"/>
    <w:rsid w:val="00F06AAD"/>
    <w:rsid w:val="00F06F88"/>
    <w:rsid w:val="00F11B12"/>
    <w:rsid w:val="00F128F6"/>
    <w:rsid w:val="00F12FE1"/>
    <w:rsid w:val="00F13345"/>
    <w:rsid w:val="00F15596"/>
    <w:rsid w:val="00F15DAC"/>
    <w:rsid w:val="00F16583"/>
    <w:rsid w:val="00F20C69"/>
    <w:rsid w:val="00F21B3A"/>
    <w:rsid w:val="00F22C85"/>
    <w:rsid w:val="00F22F28"/>
    <w:rsid w:val="00F239C5"/>
    <w:rsid w:val="00F250ED"/>
    <w:rsid w:val="00F255B7"/>
    <w:rsid w:val="00F26796"/>
    <w:rsid w:val="00F2706B"/>
    <w:rsid w:val="00F27273"/>
    <w:rsid w:val="00F27AB9"/>
    <w:rsid w:val="00F30A69"/>
    <w:rsid w:val="00F31298"/>
    <w:rsid w:val="00F32209"/>
    <w:rsid w:val="00F3283C"/>
    <w:rsid w:val="00F32BA7"/>
    <w:rsid w:val="00F33D16"/>
    <w:rsid w:val="00F33D9E"/>
    <w:rsid w:val="00F3571B"/>
    <w:rsid w:val="00F361AA"/>
    <w:rsid w:val="00F3668C"/>
    <w:rsid w:val="00F36B0A"/>
    <w:rsid w:val="00F36DAA"/>
    <w:rsid w:val="00F37854"/>
    <w:rsid w:val="00F37865"/>
    <w:rsid w:val="00F37D0F"/>
    <w:rsid w:val="00F4100C"/>
    <w:rsid w:val="00F4345C"/>
    <w:rsid w:val="00F445A4"/>
    <w:rsid w:val="00F4555A"/>
    <w:rsid w:val="00F45B01"/>
    <w:rsid w:val="00F45B51"/>
    <w:rsid w:val="00F45DF4"/>
    <w:rsid w:val="00F470B3"/>
    <w:rsid w:val="00F47788"/>
    <w:rsid w:val="00F47938"/>
    <w:rsid w:val="00F51E15"/>
    <w:rsid w:val="00F52FBA"/>
    <w:rsid w:val="00F5443A"/>
    <w:rsid w:val="00F54680"/>
    <w:rsid w:val="00F55118"/>
    <w:rsid w:val="00F55D93"/>
    <w:rsid w:val="00F5649A"/>
    <w:rsid w:val="00F60F2B"/>
    <w:rsid w:val="00F61DE9"/>
    <w:rsid w:val="00F620E8"/>
    <w:rsid w:val="00F63711"/>
    <w:rsid w:val="00F649E5"/>
    <w:rsid w:val="00F650F8"/>
    <w:rsid w:val="00F655E7"/>
    <w:rsid w:val="00F6579B"/>
    <w:rsid w:val="00F65CF5"/>
    <w:rsid w:val="00F66131"/>
    <w:rsid w:val="00F66213"/>
    <w:rsid w:val="00F673C7"/>
    <w:rsid w:val="00F67D3F"/>
    <w:rsid w:val="00F70F4C"/>
    <w:rsid w:val="00F746CA"/>
    <w:rsid w:val="00F74FF9"/>
    <w:rsid w:val="00F755E3"/>
    <w:rsid w:val="00F75EB9"/>
    <w:rsid w:val="00F7669E"/>
    <w:rsid w:val="00F76E3E"/>
    <w:rsid w:val="00F773BD"/>
    <w:rsid w:val="00F806FF"/>
    <w:rsid w:val="00F80CD1"/>
    <w:rsid w:val="00F824D5"/>
    <w:rsid w:val="00F826F7"/>
    <w:rsid w:val="00F8486D"/>
    <w:rsid w:val="00F8524C"/>
    <w:rsid w:val="00F85DCE"/>
    <w:rsid w:val="00F86380"/>
    <w:rsid w:val="00F872D6"/>
    <w:rsid w:val="00F9009E"/>
    <w:rsid w:val="00F90A1C"/>
    <w:rsid w:val="00F91ECA"/>
    <w:rsid w:val="00F923F0"/>
    <w:rsid w:val="00F923FC"/>
    <w:rsid w:val="00F92E8E"/>
    <w:rsid w:val="00F95202"/>
    <w:rsid w:val="00F96755"/>
    <w:rsid w:val="00F967E5"/>
    <w:rsid w:val="00F97D36"/>
    <w:rsid w:val="00FA0866"/>
    <w:rsid w:val="00FA0BE7"/>
    <w:rsid w:val="00FA11F5"/>
    <w:rsid w:val="00FA3373"/>
    <w:rsid w:val="00FA36F4"/>
    <w:rsid w:val="00FA486B"/>
    <w:rsid w:val="00FA4CB2"/>
    <w:rsid w:val="00FA568E"/>
    <w:rsid w:val="00FA5A69"/>
    <w:rsid w:val="00FA655C"/>
    <w:rsid w:val="00FB0D63"/>
    <w:rsid w:val="00FB181A"/>
    <w:rsid w:val="00FB1BCF"/>
    <w:rsid w:val="00FB21AF"/>
    <w:rsid w:val="00FB26A2"/>
    <w:rsid w:val="00FB28BF"/>
    <w:rsid w:val="00FB2D87"/>
    <w:rsid w:val="00FB39A3"/>
    <w:rsid w:val="00FB3A2B"/>
    <w:rsid w:val="00FB41B0"/>
    <w:rsid w:val="00FB6151"/>
    <w:rsid w:val="00FB6299"/>
    <w:rsid w:val="00FB6BCE"/>
    <w:rsid w:val="00FB6C2F"/>
    <w:rsid w:val="00FB7B65"/>
    <w:rsid w:val="00FC0562"/>
    <w:rsid w:val="00FC0C89"/>
    <w:rsid w:val="00FC0E87"/>
    <w:rsid w:val="00FC1765"/>
    <w:rsid w:val="00FC22B4"/>
    <w:rsid w:val="00FC3137"/>
    <w:rsid w:val="00FC3138"/>
    <w:rsid w:val="00FC3B4D"/>
    <w:rsid w:val="00FC5F52"/>
    <w:rsid w:val="00FC7897"/>
    <w:rsid w:val="00FD098C"/>
    <w:rsid w:val="00FD0DD2"/>
    <w:rsid w:val="00FD127B"/>
    <w:rsid w:val="00FD2E42"/>
    <w:rsid w:val="00FD3EE6"/>
    <w:rsid w:val="00FD56B6"/>
    <w:rsid w:val="00FD7460"/>
    <w:rsid w:val="00FD7DA8"/>
    <w:rsid w:val="00FE0D48"/>
    <w:rsid w:val="00FE1388"/>
    <w:rsid w:val="00FE14F7"/>
    <w:rsid w:val="00FE2653"/>
    <w:rsid w:val="00FE349E"/>
    <w:rsid w:val="00FE3970"/>
    <w:rsid w:val="00FE5A68"/>
    <w:rsid w:val="00FE69F8"/>
    <w:rsid w:val="00FE755A"/>
    <w:rsid w:val="00FF1929"/>
    <w:rsid w:val="00FF23C4"/>
    <w:rsid w:val="00FF263C"/>
    <w:rsid w:val="00FF3F66"/>
    <w:rsid w:val="00FF4C90"/>
    <w:rsid w:val="00FF4D13"/>
    <w:rsid w:val="00FF4EC2"/>
    <w:rsid w:val="00FF56F3"/>
    <w:rsid w:val="00FF59EF"/>
    <w:rsid w:val="00FF61A4"/>
    <w:rsid w:val="00FF61F5"/>
    <w:rsid w:val="00FF69BA"/>
    <w:rsid w:val="00FF69E6"/>
    <w:rsid w:val="00FF75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6F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4"/>
        <w:szCs w:val="24"/>
        <w:lang w:val="en-US" w:eastAsia="ja-JP"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qFormat="1"/>
    <w:lsdException w:name="List Bullet 3" w:semiHidden="1" w:unhideWhenUsed="1" w:qFormat="1"/>
    <w:lsdException w:name="List Bullet 4" w:unhideWhenUsed="1" w:qFormat="1"/>
    <w:lsdException w:name="List Bullet 5"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FF757F"/>
    <w:pPr>
      <w:spacing w:before="120" w:after="240"/>
    </w:pPr>
    <w:rPr>
      <w:rFonts w:ascii="Arial" w:hAnsi="Arial"/>
      <w:sz w:val="22"/>
      <w:lang w:val="en-GB" w:eastAsia="en-US"/>
    </w:rPr>
  </w:style>
  <w:style w:type="paragraph" w:styleId="Heading1">
    <w:name w:val="heading 1"/>
    <w:basedOn w:val="Normal"/>
    <w:next w:val="BodyTextNormal"/>
    <w:link w:val="Heading1Char"/>
    <w:uiPriority w:val="9"/>
    <w:qFormat/>
    <w:rsid w:val="00F21B3A"/>
    <w:pPr>
      <w:keepNext/>
      <w:spacing w:before="240" w:after="120"/>
      <w:outlineLvl w:val="0"/>
    </w:pPr>
    <w:rPr>
      <w:rFonts w:ascii="Arial Bold" w:eastAsia="Times New Roman" w:hAnsi="Arial Bold" w:cs="Arial"/>
      <w:b/>
      <w:bCs/>
      <w:color w:val="1F144A" w:themeColor="text1"/>
      <w:kern w:val="32"/>
      <w:sz w:val="32"/>
      <w:szCs w:val="32"/>
    </w:rPr>
  </w:style>
  <w:style w:type="paragraph" w:styleId="Heading2">
    <w:name w:val="heading 2"/>
    <w:basedOn w:val="Normal"/>
    <w:next w:val="BodyTextNormal"/>
    <w:link w:val="Heading2Char"/>
    <w:uiPriority w:val="9"/>
    <w:qFormat/>
    <w:rsid w:val="00D52006"/>
    <w:pPr>
      <w:keepNext/>
      <w:spacing w:before="360" w:after="120"/>
      <w:outlineLvl w:val="1"/>
    </w:pPr>
    <w:rPr>
      <w:rFonts w:ascii="Arial Bold" w:eastAsia="Times New Roman" w:hAnsi="Arial Bold" w:cs="Arial"/>
      <w:b/>
      <w:bCs/>
      <w:iCs/>
      <w:color w:val="1F144A" w:themeColor="text1"/>
      <w:sz w:val="28"/>
      <w:szCs w:val="28"/>
    </w:rPr>
  </w:style>
  <w:style w:type="paragraph" w:styleId="Heading3">
    <w:name w:val="heading 3"/>
    <w:basedOn w:val="Normal"/>
    <w:next w:val="BodyTextNormal"/>
    <w:link w:val="Heading3Char"/>
    <w:qFormat/>
    <w:rsid w:val="00694EB1"/>
    <w:pPr>
      <w:keepNext/>
      <w:numPr>
        <w:ilvl w:val="2"/>
        <w:numId w:val="3"/>
      </w:numPr>
      <w:spacing w:before="240" w:after="120"/>
      <w:outlineLvl w:val="2"/>
    </w:pPr>
    <w:rPr>
      <w:rFonts w:ascii="Arial Bold" w:eastAsia="Times New Roman" w:hAnsi="Arial Bold" w:cs="Arial"/>
      <w:b/>
      <w:bCs/>
      <w:color w:val="1F144A" w:themeColor="text1"/>
      <w:sz w:val="26"/>
      <w:szCs w:val="26"/>
    </w:rPr>
  </w:style>
  <w:style w:type="paragraph" w:styleId="Heading4">
    <w:name w:val="heading 4"/>
    <w:basedOn w:val="Normal"/>
    <w:next w:val="BodyTextNormal"/>
    <w:link w:val="Heading4Char"/>
    <w:qFormat/>
    <w:rsid w:val="00F21B3A"/>
    <w:pPr>
      <w:keepNext/>
      <w:spacing w:before="240" w:after="120"/>
      <w:ind w:left="851"/>
      <w:outlineLvl w:val="3"/>
    </w:pPr>
    <w:rPr>
      <w:rFonts w:ascii="Arial Bold" w:eastAsia="Times New Roman" w:hAnsi="Arial Bold"/>
      <w:b/>
      <w:bCs/>
      <w:color w:val="1F144A" w:themeColor="text1"/>
      <w:sz w:val="24"/>
      <w:szCs w:val="22"/>
    </w:rPr>
  </w:style>
  <w:style w:type="paragraph" w:styleId="Heading5">
    <w:name w:val="heading 5"/>
    <w:basedOn w:val="Heading4"/>
    <w:next w:val="Normal"/>
    <w:link w:val="Heading5Char"/>
    <w:qFormat/>
    <w:rsid w:val="00FC7897"/>
    <w:pPr>
      <w:outlineLvl w:val="4"/>
    </w:pPr>
    <w:rPr>
      <w:rFonts w:asciiTheme="majorHAnsi" w:hAnsiTheme="majorHAnsi"/>
      <w:b w:val="0"/>
      <w:bCs w:val="0"/>
      <w:iCs/>
      <w:sz w:val="22"/>
    </w:rPr>
  </w:style>
  <w:style w:type="paragraph" w:styleId="Heading6">
    <w:name w:val="heading 6"/>
    <w:basedOn w:val="Normal"/>
    <w:next w:val="BodyTextNormal"/>
    <w:link w:val="Heading6Char"/>
    <w:qFormat/>
    <w:rsid w:val="00753E7E"/>
    <w:pPr>
      <w:spacing w:before="240" w:after="120"/>
      <w:outlineLvl w:val="5"/>
    </w:pPr>
    <w:rPr>
      <w:rFonts w:eastAsia="Times New Roman"/>
      <w:b/>
      <w:bCs/>
      <w:color w:val="29235C"/>
    </w:rPr>
  </w:style>
  <w:style w:type="paragraph" w:styleId="Heading7">
    <w:name w:val="heading 7"/>
    <w:basedOn w:val="Normal"/>
    <w:next w:val="Normal"/>
    <w:link w:val="Heading7Char"/>
    <w:semiHidden/>
    <w:qFormat/>
    <w:rsid w:val="00590539"/>
    <w:pPr>
      <w:spacing w:before="240" w:after="60"/>
      <w:outlineLvl w:val="6"/>
    </w:pPr>
    <w:rPr>
      <w:rFonts w:ascii="Arial Bold" w:eastAsia="Times New Roman" w:hAnsi="Arial Bold"/>
      <w:b/>
      <w:szCs w:val="22"/>
    </w:rPr>
  </w:style>
  <w:style w:type="paragraph" w:styleId="Heading8">
    <w:name w:val="heading 8"/>
    <w:basedOn w:val="Normal"/>
    <w:next w:val="Normal"/>
    <w:link w:val="Heading8Char"/>
    <w:semiHidden/>
    <w:rsid w:val="00EE5A03"/>
    <w:pPr>
      <w:spacing w:after="60"/>
      <w:outlineLvl w:val="7"/>
    </w:pPr>
    <w:rPr>
      <w:rFonts w:eastAsia="Times New Roman"/>
      <w:i/>
      <w:iCs/>
    </w:rPr>
  </w:style>
  <w:style w:type="paragraph" w:styleId="Heading9">
    <w:name w:val="heading 9"/>
    <w:basedOn w:val="Normal"/>
    <w:next w:val="Normal"/>
    <w:link w:val="Heading9Char"/>
    <w:semiHidden/>
    <w:qFormat/>
    <w:rsid w:val="00DD3100"/>
    <w:pPr>
      <w:numPr>
        <w:ilvl w:val="8"/>
        <w:numId w:val="2"/>
      </w:numPr>
      <w:tabs>
        <w:tab w:val="clear" w:pos="5760"/>
        <w:tab w:val="num" w:pos="1584"/>
      </w:tabs>
      <w:spacing w:before="240" w:after="60"/>
      <w:ind w:left="1584" w:hanging="1584"/>
      <w:outlineLvl w:val="8"/>
    </w:pPr>
    <w:rPr>
      <w:rFonts w:eastAsia="Times New Roma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1B3A"/>
    <w:rPr>
      <w:rFonts w:ascii="Arial Bold" w:eastAsia="Times New Roman" w:hAnsi="Arial Bold" w:cs="Arial"/>
      <w:b/>
      <w:bCs/>
      <w:color w:val="1F144A" w:themeColor="text1"/>
      <w:kern w:val="32"/>
      <w:sz w:val="32"/>
      <w:szCs w:val="32"/>
      <w:lang w:val="en-GB" w:eastAsia="en-US"/>
    </w:rPr>
  </w:style>
  <w:style w:type="character" w:customStyle="1" w:styleId="Heading2Char">
    <w:name w:val="Heading 2 Char"/>
    <w:basedOn w:val="DefaultParagraphFont"/>
    <w:link w:val="Heading2"/>
    <w:uiPriority w:val="9"/>
    <w:rsid w:val="00D52006"/>
    <w:rPr>
      <w:rFonts w:ascii="Arial Bold" w:eastAsia="Times New Roman" w:hAnsi="Arial Bold" w:cs="Arial"/>
      <w:b/>
      <w:bCs/>
      <w:iCs/>
      <w:color w:val="1F144A" w:themeColor="text1"/>
      <w:sz w:val="28"/>
      <w:szCs w:val="28"/>
      <w:lang w:val="en-GB" w:eastAsia="en-US"/>
    </w:rPr>
  </w:style>
  <w:style w:type="character" w:customStyle="1" w:styleId="Heading3Char">
    <w:name w:val="Heading 3 Char"/>
    <w:basedOn w:val="DefaultParagraphFont"/>
    <w:link w:val="Heading3"/>
    <w:rsid w:val="00694EB1"/>
    <w:rPr>
      <w:rFonts w:ascii="Arial Bold" w:eastAsia="Times New Roman" w:hAnsi="Arial Bold" w:cs="Arial"/>
      <w:b/>
      <w:bCs/>
      <w:color w:val="1F144A" w:themeColor="text1"/>
      <w:sz w:val="26"/>
      <w:szCs w:val="26"/>
      <w:lang w:val="en-GB" w:eastAsia="en-US"/>
    </w:rPr>
  </w:style>
  <w:style w:type="character" w:customStyle="1" w:styleId="Heading4Char">
    <w:name w:val="Heading 4 Char"/>
    <w:basedOn w:val="DefaultParagraphFont"/>
    <w:link w:val="Heading4"/>
    <w:rsid w:val="00F21B3A"/>
    <w:rPr>
      <w:rFonts w:ascii="Arial Bold" w:eastAsia="Times New Roman" w:hAnsi="Arial Bold"/>
      <w:b/>
      <w:bCs/>
      <w:color w:val="1F144A" w:themeColor="text1"/>
      <w:szCs w:val="22"/>
      <w:lang w:val="en-GB" w:eastAsia="en-US"/>
    </w:rPr>
  </w:style>
  <w:style w:type="character" w:customStyle="1" w:styleId="Heading5Char">
    <w:name w:val="Heading 5 Char"/>
    <w:basedOn w:val="DefaultParagraphFont"/>
    <w:link w:val="Heading5"/>
    <w:rsid w:val="00FC7897"/>
    <w:rPr>
      <w:rFonts w:asciiTheme="majorHAnsi" w:eastAsia="Times New Roman" w:hAnsiTheme="majorHAnsi"/>
      <w:iCs/>
      <w:color w:val="1F144A" w:themeColor="text1"/>
      <w:sz w:val="22"/>
      <w:szCs w:val="22"/>
      <w:lang w:val="en-GB" w:eastAsia="en-US"/>
    </w:rPr>
  </w:style>
  <w:style w:type="character" w:customStyle="1" w:styleId="Heading6Char">
    <w:name w:val="Heading 6 Char"/>
    <w:basedOn w:val="DefaultParagraphFont"/>
    <w:link w:val="Heading6"/>
    <w:rsid w:val="00753E7E"/>
    <w:rPr>
      <w:rFonts w:ascii="Arial" w:eastAsia="Times New Roman" w:hAnsi="Arial"/>
      <w:b/>
      <w:bCs/>
      <w:color w:val="29235C"/>
      <w:sz w:val="22"/>
      <w:lang w:val="en-GB" w:eastAsia="en-US"/>
    </w:rPr>
  </w:style>
  <w:style w:type="character" w:customStyle="1" w:styleId="Heading7Char">
    <w:name w:val="Heading 7 Char"/>
    <w:basedOn w:val="DefaultParagraphFont"/>
    <w:link w:val="Heading7"/>
    <w:semiHidden/>
    <w:rsid w:val="004B2131"/>
    <w:rPr>
      <w:rFonts w:ascii="Arial Bold" w:eastAsia="Times New Roman" w:hAnsi="Arial Bold"/>
      <w:b/>
      <w:sz w:val="22"/>
      <w:szCs w:val="22"/>
      <w:lang w:val="en-GB" w:eastAsia="en-US"/>
    </w:rPr>
  </w:style>
  <w:style w:type="character" w:customStyle="1" w:styleId="Heading8Char">
    <w:name w:val="Heading 8 Char"/>
    <w:basedOn w:val="DefaultParagraphFont"/>
    <w:link w:val="Heading8"/>
    <w:semiHidden/>
    <w:rsid w:val="004B2131"/>
    <w:rPr>
      <w:rFonts w:ascii="Arial" w:eastAsia="Times New Roman" w:hAnsi="Arial"/>
      <w:i/>
      <w:iCs/>
      <w:sz w:val="22"/>
      <w:lang w:val="en-GB" w:eastAsia="en-US"/>
    </w:rPr>
  </w:style>
  <w:style w:type="character" w:customStyle="1" w:styleId="Heading9Char">
    <w:name w:val="Heading 9 Char"/>
    <w:basedOn w:val="DefaultParagraphFont"/>
    <w:link w:val="Heading9"/>
    <w:semiHidden/>
    <w:rsid w:val="004B2131"/>
    <w:rPr>
      <w:rFonts w:ascii="Arial" w:eastAsia="Times New Roman" w:hAnsi="Arial" w:cs="Arial"/>
      <w:sz w:val="22"/>
      <w:szCs w:val="22"/>
      <w:lang w:val="en-GB" w:eastAsia="en-US"/>
    </w:rPr>
  </w:style>
  <w:style w:type="paragraph" w:styleId="BalloonText">
    <w:name w:val="Balloon Text"/>
    <w:basedOn w:val="Normal"/>
    <w:link w:val="BalloonTextChar"/>
    <w:uiPriority w:val="99"/>
    <w:semiHidden/>
    <w:rsid w:val="002A05BD"/>
    <w:pPr>
      <w:spacing w:before="0"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73B5A"/>
    <w:rPr>
      <w:rFonts w:ascii="Lucida Grande" w:hAnsi="Lucida Grande" w:cs="Lucida Grande"/>
      <w:sz w:val="18"/>
      <w:szCs w:val="18"/>
      <w:lang w:val="en-GB" w:eastAsia="en-US"/>
    </w:rPr>
  </w:style>
  <w:style w:type="paragraph" w:customStyle="1" w:styleId="CoverPageSubtext">
    <w:name w:val="Cover Page – Subtext"/>
    <w:basedOn w:val="Normal"/>
    <w:next w:val="BodyTextNormal"/>
    <w:link w:val="CoverPageSubtextChar"/>
    <w:qFormat/>
    <w:rsid w:val="008F49D9"/>
    <w:pPr>
      <w:tabs>
        <w:tab w:val="center" w:pos="4320"/>
        <w:tab w:val="right" w:pos="8640"/>
      </w:tabs>
      <w:spacing w:after="120"/>
    </w:pPr>
    <w:rPr>
      <w:rFonts w:eastAsia="Times New Roman"/>
      <w:b/>
      <w:color w:val="5C2071" w:themeColor="accent1"/>
      <w:sz w:val="24"/>
    </w:rPr>
  </w:style>
  <w:style w:type="character" w:customStyle="1" w:styleId="CoverPageSubtextChar">
    <w:name w:val="Cover Page – Subtext Char"/>
    <w:basedOn w:val="DefaultParagraphFont"/>
    <w:link w:val="CoverPageSubtext"/>
    <w:rsid w:val="00525C10"/>
    <w:rPr>
      <w:rFonts w:ascii="Arial" w:eastAsia="Times New Roman" w:hAnsi="Arial"/>
      <w:b/>
      <w:color w:val="5C2071" w:themeColor="accent1"/>
      <w:lang w:val="en-GB" w:eastAsia="en-US"/>
    </w:rPr>
  </w:style>
  <w:style w:type="paragraph" w:styleId="TOC3">
    <w:name w:val="toc 3"/>
    <w:basedOn w:val="Normal"/>
    <w:next w:val="Normal"/>
    <w:uiPriority w:val="39"/>
    <w:rsid w:val="00EA4813"/>
    <w:pPr>
      <w:tabs>
        <w:tab w:val="left" w:pos="1701"/>
        <w:tab w:val="right" w:leader="dot" w:pos="9356"/>
      </w:tabs>
      <w:spacing w:after="120"/>
      <w:ind w:left="1134"/>
    </w:pPr>
    <w:rPr>
      <w:rFonts w:asciiTheme="minorHAnsi" w:hAnsiTheme="minorHAnsi" w:cstheme="minorHAnsi"/>
      <w:bCs/>
      <w:color w:val="1F144A" w:themeColor="text1"/>
    </w:rPr>
  </w:style>
  <w:style w:type="paragraph" w:customStyle="1" w:styleId="ListTick">
    <w:name w:val="List Tick"/>
    <w:basedOn w:val="BodyTextNormal"/>
    <w:uiPriority w:val="1"/>
    <w:qFormat/>
    <w:rsid w:val="00443F93"/>
    <w:pPr>
      <w:numPr>
        <w:numId w:val="4"/>
      </w:numPr>
      <w:tabs>
        <w:tab w:val="clear" w:pos="851"/>
        <w:tab w:val="num" w:pos="567"/>
      </w:tabs>
      <w:ind w:left="1248"/>
    </w:pPr>
    <w:rPr>
      <w:rFonts w:eastAsia="Times New Roman"/>
      <w:szCs w:val="22"/>
    </w:rPr>
  </w:style>
  <w:style w:type="paragraph" w:styleId="ListBullet">
    <w:name w:val="List Bullet"/>
    <w:basedOn w:val="BodyTextNormal"/>
    <w:uiPriority w:val="99"/>
    <w:qFormat/>
    <w:rsid w:val="00FA0866"/>
    <w:pPr>
      <w:numPr>
        <w:numId w:val="11"/>
      </w:numPr>
      <w:spacing w:after="120"/>
      <w:contextualSpacing/>
    </w:pPr>
  </w:style>
  <w:style w:type="paragraph" w:customStyle="1" w:styleId="ListCross">
    <w:name w:val="List Cross"/>
    <w:basedOn w:val="BodyTextNormal"/>
    <w:qFormat/>
    <w:rsid w:val="00443F93"/>
    <w:pPr>
      <w:numPr>
        <w:numId w:val="5"/>
      </w:numPr>
      <w:ind w:left="1248"/>
    </w:pPr>
  </w:style>
  <w:style w:type="paragraph" w:customStyle="1" w:styleId="TableHeadings">
    <w:name w:val="Table Headings"/>
    <w:basedOn w:val="Normal"/>
    <w:qFormat/>
    <w:rsid w:val="004B2131"/>
    <w:pPr>
      <w:spacing w:after="120"/>
    </w:pPr>
    <w:rPr>
      <w:rFonts w:eastAsia="Times New Roman"/>
      <w:bCs/>
      <w:color w:val="FFFFFF" w:themeColor="background1"/>
    </w:rPr>
  </w:style>
  <w:style w:type="paragraph" w:customStyle="1" w:styleId="TableText-Left">
    <w:name w:val="Table Text - Left"/>
    <w:basedOn w:val="BodyTextNormal"/>
    <w:link w:val="TableText-LeftChar"/>
    <w:qFormat/>
    <w:rsid w:val="009A7FCE"/>
    <w:pPr>
      <w:spacing w:before="60" w:after="60"/>
    </w:pPr>
    <w:rPr>
      <w:rFonts w:eastAsia="Times New Roman"/>
    </w:rPr>
  </w:style>
  <w:style w:type="character" w:customStyle="1" w:styleId="TableText-LeftChar">
    <w:name w:val="Table Text - Left Char"/>
    <w:basedOn w:val="DefaultParagraphFont"/>
    <w:link w:val="TableText-Left"/>
    <w:rsid w:val="009A7FCE"/>
    <w:rPr>
      <w:rFonts w:ascii="Arial" w:eastAsia="Times New Roman" w:hAnsi="Arial"/>
      <w:sz w:val="22"/>
      <w:lang w:val="en-GB" w:eastAsia="en-US"/>
    </w:rPr>
  </w:style>
  <w:style w:type="paragraph" w:customStyle="1" w:styleId="TableText-Centre">
    <w:name w:val="Table Text - Centre"/>
    <w:basedOn w:val="BodyTextNormal"/>
    <w:link w:val="TableText-CentreChar"/>
    <w:qFormat/>
    <w:rsid w:val="009A7FCE"/>
    <w:pPr>
      <w:jc w:val="center"/>
    </w:pPr>
  </w:style>
  <w:style w:type="character" w:customStyle="1" w:styleId="TableText-CentreChar">
    <w:name w:val="Table Text - Centre Char"/>
    <w:basedOn w:val="TableText-LeftChar"/>
    <w:link w:val="TableText-Centre"/>
    <w:rsid w:val="009A7FCE"/>
    <w:rPr>
      <w:rFonts w:ascii="Arial" w:eastAsia="Times New Roman" w:hAnsi="Arial"/>
      <w:sz w:val="22"/>
      <w:lang w:val="en-GB" w:eastAsia="en-US"/>
    </w:rPr>
  </w:style>
  <w:style w:type="paragraph" w:customStyle="1" w:styleId="TableText-Right">
    <w:name w:val="Table Text - Right"/>
    <w:basedOn w:val="BodyTextNormal"/>
    <w:link w:val="TableText-RightChar"/>
    <w:qFormat/>
    <w:rsid w:val="009A7FCE"/>
    <w:pPr>
      <w:jc w:val="right"/>
    </w:pPr>
  </w:style>
  <w:style w:type="character" w:customStyle="1" w:styleId="TableText-RightChar">
    <w:name w:val="Table Text - Right Char"/>
    <w:basedOn w:val="TableText-CentreChar"/>
    <w:link w:val="TableText-Right"/>
    <w:rsid w:val="009A7FCE"/>
    <w:rPr>
      <w:rFonts w:ascii="Arial" w:eastAsia="Times New Roman" w:hAnsi="Arial"/>
      <w:sz w:val="22"/>
      <w:lang w:val="en-GB" w:eastAsia="en-US"/>
    </w:rPr>
  </w:style>
  <w:style w:type="paragraph" w:styleId="Caption">
    <w:name w:val="caption"/>
    <w:basedOn w:val="BodyTextNormal"/>
    <w:next w:val="BodyTextNormal"/>
    <w:qFormat/>
    <w:rsid w:val="009A7FCE"/>
    <w:pPr>
      <w:spacing w:before="240"/>
    </w:pPr>
    <w:rPr>
      <w:rFonts w:eastAsia="Times New Roman"/>
      <w:b/>
      <w:bCs/>
      <w:color w:val="5C2071" w:themeColor="accent1"/>
      <w:sz w:val="18"/>
      <w:szCs w:val="20"/>
    </w:rPr>
  </w:style>
  <w:style w:type="character" w:styleId="PageNumber">
    <w:name w:val="page number"/>
    <w:basedOn w:val="DefaultParagraphFont"/>
    <w:uiPriority w:val="99"/>
    <w:semiHidden/>
    <w:rsid w:val="00FF4EC2"/>
  </w:style>
  <w:style w:type="paragraph" w:styleId="TOC1">
    <w:name w:val="toc 1"/>
    <w:basedOn w:val="Heading2"/>
    <w:next w:val="Normal"/>
    <w:uiPriority w:val="39"/>
    <w:rsid w:val="00EA4813"/>
    <w:pPr>
      <w:keepNext w:val="0"/>
      <w:tabs>
        <w:tab w:val="left" w:pos="567"/>
        <w:tab w:val="decimal" w:pos="1610"/>
        <w:tab w:val="right" w:leader="dot" w:pos="9356"/>
      </w:tabs>
      <w:spacing w:before="120"/>
      <w:outlineLvl w:val="9"/>
    </w:pPr>
    <w:rPr>
      <w:rFonts w:asciiTheme="minorHAnsi" w:eastAsiaTheme="minorEastAsia" w:hAnsiTheme="minorHAnsi" w:cstheme="minorHAnsi"/>
      <w:bCs w:val="0"/>
      <w:iCs w:val="0"/>
      <w:noProof/>
      <w:sz w:val="24"/>
      <w:szCs w:val="24"/>
    </w:rPr>
  </w:style>
  <w:style w:type="paragraph" w:styleId="TOC2">
    <w:name w:val="toc 2"/>
    <w:basedOn w:val="Heading3"/>
    <w:next w:val="Normal"/>
    <w:uiPriority w:val="39"/>
    <w:rsid w:val="00EA4813"/>
    <w:pPr>
      <w:keepNext w:val="0"/>
      <w:numPr>
        <w:ilvl w:val="0"/>
        <w:numId w:val="0"/>
      </w:numPr>
      <w:tabs>
        <w:tab w:val="left" w:pos="1134"/>
        <w:tab w:val="right" w:leader="dot" w:pos="9356"/>
      </w:tabs>
      <w:spacing w:before="120"/>
      <w:ind w:left="567"/>
      <w:outlineLvl w:val="9"/>
    </w:pPr>
    <w:rPr>
      <w:rFonts w:asciiTheme="minorHAnsi" w:eastAsiaTheme="minorEastAsia" w:hAnsiTheme="minorHAnsi" w:cstheme="minorHAnsi"/>
      <w:b w:val="0"/>
      <w:bCs w:val="0"/>
      <w:noProof/>
      <w:sz w:val="22"/>
      <w:szCs w:val="22"/>
    </w:rPr>
  </w:style>
  <w:style w:type="paragraph" w:customStyle="1" w:styleId="CoverPageTitle">
    <w:name w:val="Cover Page – Title"/>
    <w:basedOn w:val="Normal"/>
    <w:next w:val="CoverPageSubtitle"/>
    <w:qFormat/>
    <w:rsid w:val="00443F93"/>
    <w:pPr>
      <w:spacing w:before="240" w:after="120"/>
    </w:pPr>
    <w:rPr>
      <w:b/>
      <w:color w:val="1F144A" w:themeColor="text1"/>
      <w:sz w:val="56"/>
    </w:rPr>
  </w:style>
  <w:style w:type="table" w:styleId="MediumGrid3-Accent4">
    <w:name w:val="Medium Grid 3 Accent 4"/>
    <w:aliases w:val="DCC Template"/>
    <w:basedOn w:val="TableNormal"/>
    <w:uiPriority w:val="69"/>
    <w:rsid w:val="00953DFA"/>
    <w:rPr>
      <w:rFonts w:ascii="Arial" w:eastAsia="Times New Roman" w:hAnsi="Arial"/>
      <w:sz w:val="20"/>
      <w:szCs w:val="20"/>
      <w:lang w:val="en-GB" w:eastAsia="en-GB"/>
    </w:rPr>
    <w:tblPr>
      <w:tblStyleRowBandSize w:val="1"/>
      <w:tblStyleColBandSize w:val="1"/>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Pr>
    <w:tcPr>
      <w:shd w:val="clear" w:color="auto" w:fill="DFD8E8"/>
      <w:vAlign w:val="center"/>
    </w:tcPr>
    <w:tblStylePr w:type="firstRow">
      <w:rPr>
        <w:rFonts w:ascii="Arial" w:hAnsi="Arial"/>
        <w:b/>
        <w:bCs/>
        <w:i w:val="0"/>
        <w:iCs w:val="0"/>
        <w:color w:val="FFFFFF"/>
        <w:sz w:val="24"/>
      </w:rPr>
      <w:tblPr/>
      <w:tcPr>
        <w:shd w:val="clear" w:color="auto" w:fill="5C2071" w:themeFill="accent1"/>
      </w:tcPr>
    </w:tblStylePr>
    <w:tblStylePr w:type="lastRow">
      <w:rPr>
        <w:rFonts w:asciiTheme="minorHAnsi" w:hAnsiTheme="minorHAnsi"/>
        <w:b w:val="0"/>
        <w:bCs/>
        <w:i w:val="0"/>
        <w:iCs w:val="0"/>
        <w:color w:val="auto"/>
      </w:rPr>
      <w:tblPr/>
      <w:tcPr>
        <w:shd w:val="clear" w:color="auto" w:fill="D3BACF"/>
      </w:tcPr>
    </w:tblStylePr>
    <w:tblStylePr w:type="firstCol">
      <w:rPr>
        <w:b w:val="0"/>
        <w:bCs/>
        <w:i w:val="0"/>
        <w:iCs w:val="0"/>
        <w:color w:val="auto"/>
      </w:rPr>
    </w:tblStylePr>
    <w:tblStylePr w:type="lastCol">
      <w:rPr>
        <w:b w:val="0"/>
        <w:bCs/>
        <w:i w:val="0"/>
        <w:iCs w:val="0"/>
        <w:color w:val="auto"/>
      </w:rPr>
    </w:tblStylePr>
    <w:tblStylePr w:type="band1Horz">
      <w:rPr>
        <w:rFonts w:asciiTheme="minorHAnsi" w:hAnsiTheme="minorHAnsi"/>
      </w:rPr>
      <w:tblPr/>
      <w:tcPr>
        <w:shd w:val="clear" w:color="auto" w:fill="E5D4DF"/>
      </w:tcPr>
    </w:tblStylePr>
    <w:tblStylePr w:type="band2Horz">
      <w:rPr>
        <w:rFonts w:asciiTheme="minorHAnsi" w:hAnsiTheme="minorHAnsi"/>
      </w:rPr>
      <w:tblPr/>
      <w:tcPr>
        <w:shd w:val="clear" w:color="auto" w:fill="D3BACF"/>
      </w:tcPr>
    </w:tblStylePr>
  </w:style>
  <w:style w:type="table" w:styleId="TableGrid">
    <w:name w:val="Table Grid"/>
    <w:basedOn w:val="TableNormal"/>
    <w:uiPriority w:val="59"/>
    <w:rsid w:val="003568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498E"/>
    <w:rPr>
      <w:color w:val="808080"/>
    </w:rPr>
  </w:style>
  <w:style w:type="paragraph" w:styleId="TOCHeading">
    <w:name w:val="TOC Heading"/>
    <w:basedOn w:val="Heading1"/>
    <w:next w:val="Normal"/>
    <w:uiPriority w:val="39"/>
    <w:qFormat/>
    <w:rsid w:val="007D4BF4"/>
    <w:pPr>
      <w:keepLines/>
      <w:spacing w:before="0" w:after="240"/>
      <w:outlineLvl w:val="9"/>
    </w:pPr>
    <w:rPr>
      <w:rFonts w:ascii="Arial" w:eastAsiaTheme="majorEastAsia" w:hAnsi="Arial" w:cstheme="majorBidi"/>
      <w:kern w:val="0"/>
    </w:rPr>
  </w:style>
  <w:style w:type="paragraph" w:customStyle="1" w:styleId="Footnote">
    <w:name w:val="Footnote"/>
    <w:basedOn w:val="FootnoteText"/>
    <w:rsid w:val="00A32F74"/>
    <w:pPr>
      <w:spacing w:before="120" w:after="240"/>
    </w:pPr>
    <w:rPr>
      <w:rFonts w:eastAsia="Times New Roman"/>
    </w:rPr>
  </w:style>
  <w:style w:type="paragraph" w:styleId="TOAHeading">
    <w:name w:val="toa heading"/>
    <w:basedOn w:val="Normal"/>
    <w:next w:val="Normal"/>
    <w:uiPriority w:val="99"/>
    <w:semiHidden/>
    <w:rsid w:val="00673396"/>
    <w:rPr>
      <w:rFonts w:asciiTheme="majorHAnsi" w:eastAsiaTheme="majorEastAsia" w:hAnsiTheme="majorHAnsi" w:cstheme="majorBidi"/>
      <w:b/>
      <w:bCs/>
      <w:sz w:val="24"/>
    </w:rPr>
  </w:style>
  <w:style w:type="paragraph" w:styleId="ListBullet2">
    <w:name w:val="List Bullet 2"/>
    <w:basedOn w:val="BodyTextNormal"/>
    <w:uiPriority w:val="99"/>
    <w:qFormat/>
    <w:rsid w:val="00526231"/>
    <w:pPr>
      <w:numPr>
        <w:ilvl w:val="1"/>
        <w:numId w:val="11"/>
      </w:numPr>
      <w:spacing w:after="120"/>
      <w:ind w:left="1134"/>
      <w:contextualSpacing/>
    </w:pPr>
    <w:rPr>
      <w:szCs w:val="22"/>
    </w:rPr>
  </w:style>
  <w:style w:type="paragraph" w:styleId="ListBullet3">
    <w:name w:val="List Bullet 3"/>
    <w:basedOn w:val="BodyTextNormal"/>
    <w:uiPriority w:val="99"/>
    <w:qFormat/>
    <w:rsid w:val="00443F93"/>
    <w:pPr>
      <w:numPr>
        <w:ilvl w:val="2"/>
        <w:numId w:val="11"/>
      </w:numPr>
      <w:ind w:left="2041" w:hanging="397"/>
    </w:pPr>
  </w:style>
  <w:style w:type="character" w:styleId="Hyperlink">
    <w:name w:val="Hyperlink"/>
    <w:basedOn w:val="DefaultParagraphFont"/>
    <w:uiPriority w:val="99"/>
    <w:qFormat/>
    <w:rsid w:val="00B9617C"/>
    <w:rPr>
      <w:rFonts w:ascii="Arial" w:hAnsi="Arial"/>
      <w:color w:val="1F144A" w:themeColor="text1"/>
      <w:sz w:val="22"/>
      <w:u w:val="single"/>
    </w:rPr>
  </w:style>
  <w:style w:type="paragraph" w:styleId="List">
    <w:name w:val="List"/>
    <w:basedOn w:val="Normal"/>
    <w:uiPriority w:val="99"/>
    <w:semiHidden/>
    <w:rsid w:val="00DD3100"/>
    <w:pPr>
      <w:ind w:left="283" w:hanging="283"/>
      <w:contextualSpacing/>
    </w:pPr>
  </w:style>
  <w:style w:type="paragraph" w:customStyle="1" w:styleId="BOLD">
    <w:name w:val="BOLD"/>
    <w:basedOn w:val="Normal"/>
    <w:next w:val="Normal"/>
    <w:semiHidden/>
    <w:qFormat/>
    <w:rsid w:val="00711F1A"/>
    <w:rPr>
      <w:b/>
    </w:rPr>
  </w:style>
  <w:style w:type="paragraph" w:customStyle="1" w:styleId="italic">
    <w:name w:val="italic"/>
    <w:basedOn w:val="Normal"/>
    <w:next w:val="Normal"/>
    <w:semiHidden/>
    <w:qFormat/>
    <w:rsid w:val="00711F1A"/>
    <w:rPr>
      <w:i/>
    </w:rPr>
  </w:style>
  <w:style w:type="paragraph" w:customStyle="1" w:styleId="Tableannotation">
    <w:name w:val="Table annotation"/>
    <w:basedOn w:val="Caption"/>
    <w:next w:val="BodyTextNormal"/>
    <w:qFormat/>
    <w:rsid w:val="005C523A"/>
    <w:pPr>
      <w:numPr>
        <w:numId w:val="16"/>
      </w:numPr>
      <w:jc w:val="center"/>
    </w:pPr>
  </w:style>
  <w:style w:type="paragraph" w:customStyle="1" w:styleId="Figureannotation">
    <w:name w:val="Figure annotation"/>
    <w:basedOn w:val="Caption"/>
    <w:qFormat/>
    <w:rsid w:val="005C523A"/>
    <w:pPr>
      <w:keepNext/>
      <w:numPr>
        <w:numId w:val="15"/>
      </w:numPr>
      <w:spacing w:before="120"/>
      <w:jc w:val="center"/>
    </w:pPr>
  </w:style>
  <w:style w:type="paragraph" w:styleId="FootnoteText">
    <w:name w:val="footnote text"/>
    <w:basedOn w:val="Normal"/>
    <w:next w:val="Normal"/>
    <w:link w:val="FootnoteTextChar"/>
    <w:uiPriority w:val="99"/>
    <w:rsid w:val="00BA081A"/>
    <w:pPr>
      <w:spacing w:before="240" w:after="120"/>
      <w:contextualSpacing/>
    </w:pPr>
    <w:rPr>
      <w:sz w:val="16"/>
      <w:szCs w:val="20"/>
    </w:rPr>
  </w:style>
  <w:style w:type="character" w:customStyle="1" w:styleId="FootnoteTextChar">
    <w:name w:val="Footnote Text Char"/>
    <w:basedOn w:val="DefaultParagraphFont"/>
    <w:link w:val="FootnoteText"/>
    <w:uiPriority w:val="99"/>
    <w:rsid w:val="00673B5A"/>
    <w:rPr>
      <w:rFonts w:ascii="Arial" w:hAnsi="Arial"/>
      <w:sz w:val="16"/>
      <w:szCs w:val="20"/>
      <w:lang w:val="en-GB" w:eastAsia="en-US"/>
    </w:rPr>
  </w:style>
  <w:style w:type="paragraph" w:customStyle="1" w:styleId="FooterDocumentTitle">
    <w:name w:val="Footer Document Title"/>
    <w:basedOn w:val="Normal"/>
    <w:semiHidden/>
    <w:qFormat/>
    <w:rsid w:val="007D42F0"/>
    <w:pPr>
      <w:spacing w:after="120"/>
      <w:ind w:left="-368" w:right="357" w:hanging="709"/>
    </w:pPr>
    <w:rPr>
      <w:sz w:val="16"/>
      <w:szCs w:val="16"/>
    </w:rPr>
  </w:style>
  <w:style w:type="paragraph" w:customStyle="1" w:styleId="DocumentControlHeading">
    <w:name w:val="Document Control Heading"/>
    <w:basedOn w:val="Normal"/>
    <w:next w:val="Heading6"/>
    <w:qFormat/>
    <w:rsid w:val="00443F93"/>
    <w:pPr>
      <w:spacing w:before="240" w:after="120"/>
    </w:pPr>
    <w:rPr>
      <w:rFonts w:ascii="Arial Bold" w:hAnsi="Arial Bold"/>
      <w:b/>
      <w:color w:val="1F144A" w:themeColor="text1"/>
      <w:sz w:val="36"/>
    </w:rPr>
  </w:style>
  <w:style w:type="paragraph" w:customStyle="1" w:styleId="DocumentControlSubtitle">
    <w:name w:val="Document Control Subtitle"/>
    <w:basedOn w:val="Normal"/>
    <w:next w:val="Heading6"/>
    <w:rsid w:val="00673396"/>
    <w:pPr>
      <w:spacing w:before="240" w:after="120"/>
    </w:pPr>
    <w:rPr>
      <w:b/>
      <w:color w:val="1F144A" w:themeColor="text1"/>
    </w:rPr>
  </w:style>
  <w:style w:type="paragraph" w:styleId="ListNumber">
    <w:name w:val="List Number"/>
    <w:basedOn w:val="BodyTextNormal"/>
    <w:uiPriority w:val="99"/>
    <w:qFormat/>
    <w:rsid w:val="00285B51"/>
    <w:pPr>
      <w:numPr>
        <w:numId w:val="8"/>
      </w:numPr>
      <w:ind w:left="1418" w:hanging="567"/>
    </w:pPr>
  </w:style>
  <w:style w:type="paragraph" w:styleId="ListNumber2">
    <w:name w:val="List Number 2"/>
    <w:basedOn w:val="BodyTextNormal"/>
    <w:uiPriority w:val="99"/>
    <w:qFormat/>
    <w:rsid w:val="00285B51"/>
    <w:pPr>
      <w:numPr>
        <w:ilvl w:val="1"/>
        <w:numId w:val="8"/>
      </w:numPr>
      <w:ind w:left="2269" w:hanging="851"/>
    </w:pPr>
  </w:style>
  <w:style w:type="paragraph" w:styleId="ListNumber3">
    <w:name w:val="List Number 3"/>
    <w:basedOn w:val="BodyTextNormal"/>
    <w:uiPriority w:val="99"/>
    <w:qFormat/>
    <w:rsid w:val="00285B51"/>
    <w:pPr>
      <w:numPr>
        <w:ilvl w:val="2"/>
        <w:numId w:val="8"/>
      </w:numPr>
      <w:ind w:left="3119"/>
    </w:pPr>
  </w:style>
  <w:style w:type="paragraph" w:customStyle="1" w:styleId="ListLettering">
    <w:name w:val="List Lettering"/>
    <w:basedOn w:val="BodyTextNormal"/>
    <w:qFormat/>
    <w:rsid w:val="00443F93"/>
    <w:pPr>
      <w:numPr>
        <w:numId w:val="7"/>
      </w:numPr>
      <w:ind w:left="1248" w:hanging="397"/>
    </w:pPr>
  </w:style>
  <w:style w:type="paragraph" w:customStyle="1" w:styleId="ParagraphNumbering">
    <w:name w:val="Paragraph Numbering"/>
    <w:basedOn w:val="BodyTextNormal"/>
    <w:qFormat/>
    <w:rsid w:val="002010E0"/>
    <w:pPr>
      <w:numPr>
        <w:numId w:val="6"/>
      </w:numPr>
      <w:tabs>
        <w:tab w:val="left" w:pos="-1134"/>
      </w:tabs>
    </w:pPr>
  </w:style>
  <w:style w:type="character" w:customStyle="1" w:styleId="Highlight">
    <w:name w:val="Highlight"/>
    <w:basedOn w:val="DefaultParagraphFont"/>
    <w:uiPriority w:val="1"/>
    <w:qFormat/>
    <w:rsid w:val="00195A5F"/>
    <w:rPr>
      <w:rFonts w:asciiTheme="minorHAnsi" w:hAnsiTheme="minorHAnsi"/>
      <w:sz w:val="22"/>
      <w:bdr w:val="none" w:sz="0" w:space="0" w:color="auto"/>
      <w:shd w:val="solid" w:color="FFFF00" w:fill="auto"/>
    </w:rPr>
  </w:style>
  <w:style w:type="paragraph" w:styleId="Quote">
    <w:name w:val="Quote"/>
    <w:basedOn w:val="Normal"/>
    <w:next w:val="Normal"/>
    <w:link w:val="QuoteChar"/>
    <w:uiPriority w:val="29"/>
    <w:semiHidden/>
    <w:qFormat/>
    <w:rsid w:val="001106F5"/>
    <w:pPr>
      <w:shd w:val="thinDiagStripe" w:color="FFFFFF" w:themeColor="background1" w:themeTint="99" w:fill="auto"/>
    </w:pPr>
    <w:rPr>
      <w:i/>
      <w:iCs/>
      <w:color w:val="1F144A" w:themeColor="text1"/>
    </w:rPr>
  </w:style>
  <w:style w:type="character" w:customStyle="1" w:styleId="QuoteChar">
    <w:name w:val="Quote Char"/>
    <w:basedOn w:val="DefaultParagraphFont"/>
    <w:link w:val="Quote"/>
    <w:uiPriority w:val="29"/>
    <w:semiHidden/>
    <w:rsid w:val="00673B5A"/>
    <w:rPr>
      <w:rFonts w:ascii="Arial" w:hAnsi="Arial"/>
      <w:i/>
      <w:iCs/>
      <w:color w:val="1F144A" w:themeColor="text1"/>
      <w:sz w:val="22"/>
      <w:shd w:val="thinDiagStripe" w:color="FFFFFF" w:themeColor="background1" w:themeTint="99" w:fill="auto"/>
      <w:lang w:val="en-GB" w:eastAsia="en-US"/>
    </w:rPr>
  </w:style>
  <w:style w:type="paragraph" w:customStyle="1" w:styleId="CaseStudyQuoteTitle">
    <w:name w:val="Case Study / Quote Title"/>
    <w:basedOn w:val="Normal"/>
    <w:rsid w:val="00443F93"/>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FFFFFF" w:themeFill="background1" w:themeFillTint="33"/>
      <w:spacing w:before="240" w:after="120"/>
    </w:pPr>
    <w:rPr>
      <w:b/>
      <w:color w:val="1F144A" w:themeColor="text1"/>
      <w:sz w:val="24"/>
    </w:rPr>
  </w:style>
  <w:style w:type="paragraph" w:customStyle="1" w:styleId="CaseStudy">
    <w:name w:val="Case Study"/>
    <w:basedOn w:val="BodyTextNormal"/>
    <w:rsid w:val="009A7FCE"/>
    <w:pPr>
      <w:pBdr>
        <w:top w:val="single" w:sz="8" w:space="1" w:color="FFFFFF" w:themeColor="background1" w:themeTint="33"/>
        <w:left w:val="single" w:sz="8" w:space="4" w:color="FFFFFF" w:themeColor="background1" w:themeTint="33"/>
        <w:bottom w:val="single" w:sz="8" w:space="10" w:color="FFFFFF" w:themeColor="background1" w:themeTint="33"/>
        <w:right w:val="single" w:sz="8" w:space="4" w:color="FFFFFF" w:themeColor="background1" w:themeTint="33"/>
      </w:pBdr>
      <w:shd w:val="solid" w:color="D9D9D9" w:themeColor="background1" w:themeShade="D9" w:fill="auto"/>
    </w:pPr>
  </w:style>
  <w:style w:type="paragraph" w:customStyle="1" w:styleId="CaseStudyQuoteBullets">
    <w:name w:val="Case Study / Quote Bullets"/>
    <w:basedOn w:val="CaseStudy"/>
    <w:qFormat/>
    <w:rsid w:val="00443F93"/>
    <w:pPr>
      <w:numPr>
        <w:numId w:val="9"/>
      </w:numPr>
      <w:ind w:left="397" w:hanging="397"/>
    </w:pPr>
  </w:style>
  <w:style w:type="paragraph" w:customStyle="1" w:styleId="TableBullet1">
    <w:name w:val="Table Bullet 1"/>
    <w:basedOn w:val="TableText-Left"/>
    <w:qFormat/>
    <w:rsid w:val="00B07591"/>
    <w:pPr>
      <w:numPr>
        <w:numId w:val="10"/>
      </w:numPr>
    </w:pPr>
    <w:rPr>
      <w:szCs w:val="20"/>
    </w:rPr>
  </w:style>
  <w:style w:type="paragraph" w:customStyle="1" w:styleId="TableBullet2">
    <w:name w:val="Table Bullet 2"/>
    <w:basedOn w:val="Normal"/>
    <w:qFormat/>
    <w:rsid w:val="00B07591"/>
    <w:pPr>
      <w:numPr>
        <w:ilvl w:val="1"/>
        <w:numId w:val="10"/>
      </w:numPr>
      <w:spacing w:before="60" w:after="60"/>
      <w:ind w:left="680" w:hanging="340"/>
      <w:contextualSpacing/>
    </w:pPr>
    <w:rPr>
      <w:szCs w:val="20"/>
    </w:rPr>
  </w:style>
  <w:style w:type="table" w:styleId="MediumGrid3-Accent5">
    <w:name w:val="Medium Grid 3 Accent 5"/>
    <w:basedOn w:val="TableNormal"/>
    <w:uiPriority w:val="69"/>
    <w:rsid w:val="001F5F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4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525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525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525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9A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9AA" w:themeFill="accent5" w:themeFillTint="7F"/>
      </w:tcPr>
    </w:tblStylePr>
  </w:style>
  <w:style w:type="table" w:customStyle="1" w:styleId="WithoutHeader">
    <w:name w:val="Without Header"/>
    <w:basedOn w:val="MediumGrid3-Accent4"/>
    <w:uiPriority w:val="99"/>
    <w:rsid w:val="00803D6C"/>
    <w:tblPr/>
    <w:tcPr>
      <w:shd w:val="solid" w:color="E2DDF6" w:themeColor="text1" w:themeTint="1A" w:fill="DFD8E8"/>
    </w:tcPr>
    <w:tblStylePr w:type="firstRow">
      <w:rPr>
        <w:rFonts w:ascii="Arial Rounded MT Bold" w:hAnsi="Arial Rounded MT Bold"/>
        <w:b/>
        <w:bCs/>
        <w:i w:val="0"/>
        <w:iCs w:val="0"/>
        <w:color w:val="FFFFFF"/>
        <w:sz w:val="24"/>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solid" w:color="E2DDF6" w:themeColor="text1" w:themeTint="1A" w:fill="auto"/>
      </w:tcPr>
    </w:tblStylePr>
    <w:tblStylePr w:type="lastRow">
      <w:rPr>
        <w:rFonts w:asciiTheme="minorHAnsi" w:hAnsiTheme="minorHAnsi"/>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pct35" w:color="B8ACE8" w:themeColor="accent4" w:themeTint="40" w:fill="E5D4DF"/>
      </w:tcPr>
    </w:tblStylePr>
    <w:tblStylePr w:type="band2Horz">
      <w:rPr>
        <w:rFonts w:asciiTheme="minorHAnsi" w:hAnsiTheme="minorHAnsi"/>
      </w:rPr>
      <w:tblPr/>
      <w:tcPr>
        <w:tcBorders>
          <w:top w:val="single" w:sz="6" w:space="0" w:color="FFFFFF"/>
          <w:left w:val="single" w:sz="6" w:space="0" w:color="FFFFFF"/>
          <w:bottom w:val="single" w:sz="6" w:space="0" w:color="FFFFFF"/>
          <w:right w:val="single" w:sz="6" w:space="0" w:color="FFFFFF"/>
          <w:insideH w:val="single" w:sz="6" w:space="0" w:color="FFFFFF"/>
          <w:insideV w:val="single" w:sz="6" w:space="0" w:color="FFFFFF"/>
          <w:tl2br w:val="nil"/>
          <w:tr2bl w:val="nil"/>
        </w:tcBorders>
        <w:shd w:val="solid" w:color="E2DDF6" w:themeColor="text1" w:themeTint="1A" w:fill="D3BACF"/>
      </w:tcPr>
    </w:tblStylePr>
  </w:style>
  <w:style w:type="paragraph" w:styleId="Header">
    <w:name w:val="header"/>
    <w:basedOn w:val="Normal"/>
    <w:link w:val="HeaderChar"/>
    <w:uiPriority w:val="99"/>
    <w:rsid w:val="003349D8"/>
    <w:pPr>
      <w:tabs>
        <w:tab w:val="center" w:pos="4320"/>
        <w:tab w:val="right" w:pos="8640"/>
      </w:tabs>
      <w:spacing w:before="0" w:after="0"/>
    </w:pPr>
  </w:style>
  <w:style w:type="character" w:customStyle="1" w:styleId="HeaderChar">
    <w:name w:val="Header Char"/>
    <w:basedOn w:val="DefaultParagraphFont"/>
    <w:link w:val="Header"/>
    <w:uiPriority w:val="99"/>
    <w:rsid w:val="00673B5A"/>
    <w:rPr>
      <w:rFonts w:ascii="Arial" w:hAnsi="Arial"/>
      <w:sz w:val="22"/>
      <w:lang w:val="en-GB" w:eastAsia="en-US"/>
    </w:rPr>
  </w:style>
  <w:style w:type="paragraph" w:styleId="Footer">
    <w:name w:val="footer"/>
    <w:basedOn w:val="Normal"/>
    <w:link w:val="FooterChar"/>
    <w:uiPriority w:val="99"/>
    <w:rsid w:val="008F49D9"/>
    <w:pPr>
      <w:tabs>
        <w:tab w:val="center" w:pos="4680"/>
        <w:tab w:val="right" w:pos="9360"/>
      </w:tabs>
      <w:spacing w:before="0" w:after="0"/>
    </w:pPr>
    <w:rPr>
      <w:rFonts w:asciiTheme="minorHAnsi" w:eastAsiaTheme="minorHAnsi" w:hAnsiTheme="minorHAnsi" w:cstheme="minorBidi"/>
      <w:sz w:val="21"/>
      <w:szCs w:val="22"/>
      <w:lang w:val="en-US" w:eastAsia="ja-JP"/>
    </w:rPr>
  </w:style>
  <w:style w:type="character" w:customStyle="1" w:styleId="FooterChar">
    <w:name w:val="Footer Char"/>
    <w:basedOn w:val="DefaultParagraphFont"/>
    <w:link w:val="Footer"/>
    <w:uiPriority w:val="99"/>
    <w:rsid w:val="00673B5A"/>
    <w:rPr>
      <w:rFonts w:asciiTheme="minorHAnsi" w:eastAsiaTheme="minorHAnsi" w:hAnsiTheme="minorHAnsi" w:cstheme="minorBidi"/>
      <w:sz w:val="21"/>
      <w:szCs w:val="22"/>
    </w:rPr>
  </w:style>
  <w:style w:type="paragraph" w:styleId="ListBullet4">
    <w:name w:val="List Bullet 4"/>
    <w:basedOn w:val="BodyTextNormal"/>
    <w:uiPriority w:val="99"/>
    <w:qFormat/>
    <w:rsid w:val="00540872"/>
    <w:pPr>
      <w:numPr>
        <w:ilvl w:val="3"/>
        <w:numId w:val="11"/>
      </w:numPr>
      <w:ind w:left="2438" w:hanging="397"/>
    </w:pPr>
  </w:style>
  <w:style w:type="paragraph" w:styleId="ListBullet5">
    <w:name w:val="List Bullet 5"/>
    <w:basedOn w:val="BodyTextNormal"/>
    <w:uiPriority w:val="99"/>
    <w:qFormat/>
    <w:rsid w:val="00443F93"/>
    <w:pPr>
      <w:numPr>
        <w:ilvl w:val="4"/>
        <w:numId w:val="11"/>
      </w:numPr>
      <w:ind w:left="2438" w:hanging="397"/>
    </w:pPr>
  </w:style>
  <w:style w:type="table" w:styleId="LightList-Accent1">
    <w:name w:val="Light List Accent 1"/>
    <w:basedOn w:val="TableNormal"/>
    <w:uiPriority w:val="61"/>
    <w:rsid w:val="004B1BF7"/>
    <w:tblPr>
      <w:tblStyleRowBandSize w:val="1"/>
      <w:tblStyleColBandSize w:val="1"/>
      <w:tblBorders>
        <w:top w:val="single" w:sz="8" w:space="0" w:color="5C2071" w:themeColor="accent1"/>
        <w:left w:val="single" w:sz="8" w:space="0" w:color="5C2071" w:themeColor="accent1"/>
        <w:bottom w:val="single" w:sz="8" w:space="0" w:color="5C2071" w:themeColor="accent1"/>
        <w:right w:val="single" w:sz="8" w:space="0" w:color="5C2071" w:themeColor="accent1"/>
      </w:tblBorders>
    </w:tblPr>
    <w:tblStylePr w:type="firstRow">
      <w:pPr>
        <w:spacing w:before="0" w:after="0" w:line="240" w:lineRule="auto"/>
      </w:pPr>
      <w:rPr>
        <w:b/>
        <w:bCs/>
        <w:color w:val="FFFFFF" w:themeColor="background1"/>
      </w:rPr>
      <w:tblPr/>
      <w:tcPr>
        <w:shd w:val="clear" w:color="auto" w:fill="5C2071" w:themeFill="accent1"/>
      </w:tcPr>
    </w:tblStylePr>
    <w:tblStylePr w:type="lastRow">
      <w:pPr>
        <w:spacing w:before="0" w:after="0" w:line="240" w:lineRule="auto"/>
      </w:pPr>
      <w:rPr>
        <w:b/>
        <w:bCs/>
      </w:rPr>
      <w:tblPr/>
      <w:tcPr>
        <w:tcBorders>
          <w:top w:val="double" w:sz="6" w:space="0" w:color="5C2071" w:themeColor="accent1"/>
          <w:left w:val="single" w:sz="8" w:space="0" w:color="5C2071" w:themeColor="accent1"/>
          <w:bottom w:val="single" w:sz="8" w:space="0" w:color="5C2071" w:themeColor="accent1"/>
          <w:right w:val="single" w:sz="8" w:space="0" w:color="5C2071" w:themeColor="accent1"/>
        </w:tcBorders>
      </w:tcPr>
    </w:tblStylePr>
    <w:tblStylePr w:type="firstCol">
      <w:rPr>
        <w:b/>
        <w:bCs/>
      </w:rPr>
    </w:tblStylePr>
    <w:tblStylePr w:type="lastCol">
      <w:rPr>
        <w:b/>
        <w:bCs/>
      </w:rPr>
    </w:tblStylePr>
    <w:tblStylePr w:type="band1Vert">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tblStylePr w:type="band1Horz">
      <w:tblPr/>
      <w:tcPr>
        <w:tcBorders>
          <w:top w:val="single" w:sz="8" w:space="0" w:color="5C2071" w:themeColor="accent1"/>
          <w:left w:val="single" w:sz="8" w:space="0" w:color="5C2071" w:themeColor="accent1"/>
          <w:bottom w:val="single" w:sz="8" w:space="0" w:color="5C2071" w:themeColor="accent1"/>
          <w:right w:val="single" w:sz="8" w:space="0" w:color="5C2071" w:themeColor="accent1"/>
        </w:tcBorders>
      </w:tcPr>
    </w:tblStylePr>
  </w:style>
  <w:style w:type="table" w:customStyle="1" w:styleId="TableTemplate1">
    <w:name w:val="Table Template 1"/>
    <w:basedOn w:val="TableNormal"/>
    <w:uiPriority w:val="99"/>
    <w:rsid w:val="000F49A2"/>
    <w:pPr>
      <w:spacing w:before="60" w:after="60"/>
    </w:pPr>
    <w:rPr>
      <w:rFonts w:ascii="Arial" w:hAnsi="Arial"/>
      <w:sz w:val="22"/>
    </w:rPr>
    <w:tblPr>
      <w:tblStyleColBandSize w:val="1"/>
      <w:tblBorders>
        <w:top w:val="single" w:sz="8" w:space="0" w:color="505253" w:themeColor="text2"/>
        <w:left w:val="single" w:sz="8" w:space="0" w:color="505253" w:themeColor="text2"/>
        <w:bottom w:val="single" w:sz="8" w:space="0" w:color="505253" w:themeColor="text2"/>
        <w:right w:val="single" w:sz="8" w:space="0" w:color="505253" w:themeColor="text2"/>
        <w:insideH w:val="single" w:sz="8" w:space="0" w:color="505253" w:themeColor="text2"/>
        <w:insideV w:val="single" w:sz="8" w:space="0" w:color="505253" w:themeColor="text2"/>
      </w:tblBorders>
    </w:tblPr>
    <w:tblStylePr w:type="firstRow">
      <w:pPr>
        <w:jc w:val="left"/>
      </w:pPr>
      <w:rPr>
        <w:rFonts w:asciiTheme="minorHAnsi" w:hAnsiTheme="minorHAnsi"/>
        <w:b/>
        <w:color w:val="FFFFFF" w:themeColor="background1"/>
        <w:sz w:val="24"/>
      </w:rPr>
      <w:tblPr/>
      <w:trPr>
        <w:cantSplit/>
        <w:tblHeader/>
      </w:trPr>
      <w:tcPr>
        <w:tcBorders>
          <w:bottom w:val="single" w:sz="4" w:space="0" w:color="9CA299" w:themeColor="background2"/>
        </w:tcBorders>
        <w:shd w:val="clear" w:color="auto" w:fill="5C2071" w:themeFill="accent1"/>
        <w:vAlign w:val="center"/>
      </w:tcPr>
    </w:tblStylePr>
    <w:tblStylePr w:type="firstCol">
      <w:rPr>
        <w:rFonts w:asciiTheme="minorHAnsi" w:hAnsiTheme="minorHAnsi"/>
        <w:b/>
        <w:color w:val="5C2071" w:themeColor="accent1"/>
        <w:sz w:val="24"/>
      </w:rPr>
    </w:tblStylePr>
  </w:style>
  <w:style w:type="table" w:customStyle="1" w:styleId="TableTemplate2">
    <w:name w:val="Table Template 2"/>
    <w:basedOn w:val="TableNormal"/>
    <w:uiPriority w:val="99"/>
    <w:rsid w:val="008C6F7F"/>
    <w:pPr>
      <w:spacing w:before="60" w:after="60"/>
    </w:pPr>
    <w:rPr>
      <w:rFonts w:ascii="Arial" w:hAnsi="Arial"/>
      <w:sz w:val="22"/>
    </w:rPr>
    <w:tblPr>
      <w:tblStyleRowBandSize w:val="1"/>
      <w:tblBorders>
        <w:insideH w:val="single" w:sz="4" w:space="0" w:color="9CA299" w:themeColor="background2"/>
        <w:insideV w:val="single" w:sz="4" w:space="0" w:color="9CA299" w:themeColor="background2"/>
      </w:tblBorders>
    </w:tblPr>
    <w:tcPr>
      <w:vAlign w:val="center"/>
    </w:tcPr>
    <w:tblStylePr w:type="firstRow">
      <w:pPr>
        <w:keepNext w:val="0"/>
        <w:keepLines w:val="0"/>
        <w:pageBreakBefore w:val="0"/>
        <w:widowControl w:val="0"/>
        <w:suppressLineNumbers w:val="0"/>
        <w:suppressAutoHyphens w:val="0"/>
        <w:wordWrap/>
        <w:spacing w:beforeLines="0" w:before="120" w:beforeAutospacing="0" w:afterLines="0" w:after="120" w:afterAutospacing="0" w:line="240" w:lineRule="auto"/>
        <w:contextualSpacing w:val="0"/>
        <w:jc w:val="left"/>
      </w:pPr>
      <w:rPr>
        <w:rFonts w:ascii="Yu Gothic Light" w:hAnsi="Yu Gothic Light"/>
        <w:b/>
        <w:color w:val="FFFFFF" w:themeColor="background1"/>
        <w:sz w:val="22"/>
      </w:rPr>
      <w:tblPr/>
      <w:trPr>
        <w:tblHeader/>
      </w:trPr>
      <w:tcPr>
        <w:tcBorders>
          <w:bottom w:val="single" w:sz="18" w:space="0" w:color="9CA299" w:themeColor="background2"/>
        </w:tcBorders>
        <w:shd w:val="clear" w:color="auto" w:fill="5C2071" w:themeFill="accent1"/>
      </w:tcPr>
    </w:tblStylePr>
    <w:tblStylePr w:type="firstCol">
      <w:rPr>
        <w:rFonts w:asciiTheme="minorHAnsi" w:hAnsiTheme="minorHAnsi"/>
        <w:b/>
        <w:color w:val="5C2071" w:themeColor="accent1"/>
        <w:sz w:val="22"/>
      </w:rPr>
    </w:tblStylePr>
    <w:tblStylePr w:type="band1Horz">
      <w:tblPr/>
      <w:tcPr>
        <w:shd w:val="clear" w:color="auto" w:fill="E5D4DF"/>
      </w:tcPr>
    </w:tblStylePr>
    <w:tblStylePr w:type="band2Horz">
      <w:tblPr/>
      <w:tcPr>
        <w:shd w:val="clear" w:color="auto" w:fill="D3BACF"/>
      </w:tcPr>
    </w:tblStylePr>
  </w:style>
  <w:style w:type="paragraph" w:customStyle="1" w:styleId="AppendixHeading">
    <w:name w:val="Appendix Heading"/>
    <w:basedOn w:val="Heading1"/>
    <w:next w:val="BodyTextNormal"/>
    <w:qFormat/>
    <w:rsid w:val="00B20ACD"/>
    <w:pPr>
      <w:numPr>
        <w:numId w:val="13"/>
      </w:numPr>
      <w:tabs>
        <w:tab w:val="left" w:pos="1701"/>
      </w:tabs>
    </w:pPr>
  </w:style>
  <w:style w:type="numbering" w:customStyle="1" w:styleId="Appendix">
    <w:name w:val="Appendix"/>
    <w:uiPriority w:val="99"/>
    <w:rsid w:val="00846A64"/>
    <w:pPr>
      <w:numPr>
        <w:numId w:val="12"/>
      </w:numPr>
    </w:pPr>
  </w:style>
  <w:style w:type="paragraph" w:customStyle="1" w:styleId="BodyTextBold">
    <w:name w:val="Body Text – Bold"/>
    <w:basedOn w:val="BodyTextNormal"/>
    <w:qFormat/>
    <w:rsid w:val="00443F93"/>
    <w:rPr>
      <w:b/>
      <w:bCs/>
    </w:rPr>
  </w:style>
  <w:style w:type="paragraph" w:customStyle="1" w:styleId="BodyTextItalic">
    <w:name w:val="Body Text – Italic"/>
    <w:basedOn w:val="BodyTextNormal"/>
    <w:qFormat/>
    <w:rsid w:val="00C510F2"/>
    <w:rPr>
      <w:i/>
      <w:iCs/>
    </w:rPr>
  </w:style>
  <w:style w:type="paragraph" w:customStyle="1" w:styleId="AppendixSubtitle">
    <w:name w:val="Appendix Subtitle"/>
    <w:basedOn w:val="AppendixHeading"/>
    <w:next w:val="BodyTextNormal"/>
    <w:qFormat/>
    <w:rsid w:val="00443F93"/>
    <w:pPr>
      <w:numPr>
        <w:numId w:val="0"/>
      </w:numPr>
    </w:pPr>
    <w:rPr>
      <w:sz w:val="28"/>
    </w:rPr>
  </w:style>
  <w:style w:type="paragraph" w:styleId="BlockText">
    <w:name w:val="Block Text"/>
    <w:basedOn w:val="Normal"/>
    <w:uiPriority w:val="99"/>
    <w:semiHidden/>
    <w:rsid w:val="00251828"/>
    <w:pPr>
      <w:pBdr>
        <w:top w:val="single" w:sz="2" w:space="10" w:color="5C2071" w:themeColor="accent1" w:shadow="1"/>
        <w:left w:val="single" w:sz="2" w:space="10" w:color="5C2071" w:themeColor="accent1" w:shadow="1"/>
        <w:bottom w:val="single" w:sz="2" w:space="10" w:color="5C2071" w:themeColor="accent1" w:shadow="1"/>
        <w:right w:val="single" w:sz="2" w:space="10" w:color="5C2071" w:themeColor="accent1" w:shadow="1"/>
      </w:pBdr>
      <w:ind w:left="1152" w:right="1152"/>
    </w:pPr>
    <w:rPr>
      <w:rFonts w:asciiTheme="minorHAnsi" w:hAnsiTheme="minorHAnsi" w:cstheme="minorBidi"/>
      <w:i/>
      <w:iCs/>
      <w:color w:val="5C2071" w:themeColor="accent1"/>
    </w:rPr>
  </w:style>
  <w:style w:type="paragraph" w:customStyle="1" w:styleId="BodytextSubtitle">
    <w:name w:val="Body text Subtitle"/>
    <w:basedOn w:val="CoverPageSubtext"/>
    <w:semiHidden/>
    <w:qFormat/>
    <w:rsid w:val="00E538B7"/>
    <w:pPr>
      <w:spacing w:before="240"/>
      <w:ind w:left="851"/>
    </w:pPr>
  </w:style>
  <w:style w:type="paragraph" w:customStyle="1" w:styleId="BodyTextNormal">
    <w:name w:val="Body Text – Normal"/>
    <w:basedOn w:val="Normal"/>
    <w:qFormat/>
    <w:rsid w:val="00581426"/>
    <w:pPr>
      <w:spacing w:line="264" w:lineRule="auto"/>
    </w:pPr>
  </w:style>
  <w:style w:type="character" w:styleId="FootnoteReference">
    <w:name w:val="footnote reference"/>
    <w:basedOn w:val="DefaultParagraphFont"/>
    <w:uiPriority w:val="99"/>
    <w:rsid w:val="00347A8F"/>
    <w:rPr>
      <w:vertAlign w:val="superscript"/>
    </w:rPr>
  </w:style>
  <w:style w:type="table" w:styleId="LightList-Accent2">
    <w:name w:val="Light List Accent 2"/>
    <w:basedOn w:val="TableNormal"/>
    <w:uiPriority w:val="61"/>
    <w:rsid w:val="00FC7897"/>
    <w:tblPr>
      <w:tblStyleRowBandSize w:val="1"/>
      <w:tblStyleColBandSize w:val="1"/>
      <w:tblBorders>
        <w:top w:val="single" w:sz="8" w:space="0" w:color="861889" w:themeColor="accent2"/>
        <w:left w:val="single" w:sz="8" w:space="0" w:color="861889" w:themeColor="accent2"/>
        <w:bottom w:val="single" w:sz="8" w:space="0" w:color="861889" w:themeColor="accent2"/>
        <w:right w:val="single" w:sz="8" w:space="0" w:color="861889" w:themeColor="accent2"/>
      </w:tblBorders>
    </w:tblPr>
    <w:tblStylePr w:type="firstRow">
      <w:pPr>
        <w:spacing w:before="0" w:after="0" w:line="240" w:lineRule="auto"/>
      </w:pPr>
      <w:rPr>
        <w:b/>
        <w:bCs/>
        <w:color w:val="FFFFFF" w:themeColor="background1"/>
      </w:rPr>
      <w:tblPr/>
      <w:tcPr>
        <w:shd w:val="clear" w:color="auto" w:fill="861889" w:themeFill="accent2"/>
      </w:tcPr>
    </w:tblStylePr>
    <w:tblStylePr w:type="lastRow">
      <w:pPr>
        <w:spacing w:before="0" w:after="0" w:line="240" w:lineRule="auto"/>
      </w:pPr>
      <w:rPr>
        <w:b/>
        <w:bCs/>
      </w:rPr>
      <w:tblPr/>
      <w:tcPr>
        <w:tcBorders>
          <w:top w:val="double" w:sz="6" w:space="0" w:color="861889" w:themeColor="accent2"/>
          <w:left w:val="single" w:sz="8" w:space="0" w:color="861889" w:themeColor="accent2"/>
          <w:bottom w:val="single" w:sz="8" w:space="0" w:color="861889" w:themeColor="accent2"/>
          <w:right w:val="single" w:sz="8" w:space="0" w:color="861889" w:themeColor="accent2"/>
        </w:tcBorders>
      </w:tcPr>
    </w:tblStylePr>
    <w:tblStylePr w:type="firstCol">
      <w:rPr>
        <w:b/>
        <w:bCs/>
      </w:rPr>
    </w:tblStylePr>
    <w:tblStylePr w:type="lastCol">
      <w:rPr>
        <w:b/>
        <w:bCs/>
      </w:rPr>
    </w:tblStylePr>
    <w:tblStylePr w:type="band1Vert">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tblStylePr w:type="band1Horz">
      <w:tblPr/>
      <w:tcPr>
        <w:tcBorders>
          <w:top w:val="single" w:sz="8" w:space="0" w:color="861889" w:themeColor="accent2"/>
          <w:left w:val="single" w:sz="8" w:space="0" w:color="861889" w:themeColor="accent2"/>
          <w:bottom w:val="single" w:sz="8" w:space="0" w:color="861889" w:themeColor="accent2"/>
          <w:right w:val="single" w:sz="8" w:space="0" w:color="861889" w:themeColor="accent2"/>
        </w:tcBorders>
      </w:tcPr>
    </w:tblStylePr>
  </w:style>
  <w:style w:type="paragraph" w:customStyle="1" w:styleId="CoverPageSubtitle">
    <w:name w:val="Cover Page – Subtitle"/>
    <w:basedOn w:val="NormalWeb"/>
    <w:qFormat/>
    <w:rsid w:val="00443F93"/>
    <w:rPr>
      <w:rFonts w:asciiTheme="majorHAnsi" w:hAnsiTheme="majorHAnsi"/>
      <w:b/>
      <w:color w:val="5C2071" w:themeColor="accent1"/>
      <w:sz w:val="36"/>
    </w:rPr>
  </w:style>
  <w:style w:type="paragraph" w:styleId="NormalWeb">
    <w:name w:val="Normal (Web)"/>
    <w:basedOn w:val="Normal"/>
    <w:uiPriority w:val="99"/>
    <w:semiHidden/>
    <w:rsid w:val="0025074F"/>
    <w:rPr>
      <w:rFonts w:ascii="Times New Roman" w:hAnsi="Times New Roman"/>
      <w:sz w:val="24"/>
    </w:rPr>
  </w:style>
  <w:style w:type="paragraph" w:styleId="Bibliography">
    <w:name w:val="Bibliography"/>
    <w:basedOn w:val="Normal"/>
    <w:next w:val="Normal"/>
    <w:uiPriority w:val="37"/>
    <w:semiHidden/>
    <w:rsid w:val="00FF757F"/>
  </w:style>
  <w:style w:type="paragraph" w:styleId="BodyText">
    <w:name w:val="Body Text"/>
    <w:basedOn w:val="Normal"/>
    <w:link w:val="BodyTextChar"/>
    <w:uiPriority w:val="99"/>
    <w:semiHidden/>
    <w:rsid w:val="00FF757F"/>
    <w:pPr>
      <w:spacing w:after="120"/>
    </w:pPr>
  </w:style>
  <w:style w:type="character" w:customStyle="1" w:styleId="BodyTextChar">
    <w:name w:val="Body Text Char"/>
    <w:basedOn w:val="DefaultParagraphFont"/>
    <w:link w:val="BodyText"/>
    <w:uiPriority w:val="99"/>
    <w:semiHidden/>
    <w:rsid w:val="00FF757F"/>
    <w:rPr>
      <w:rFonts w:ascii="Arial" w:hAnsi="Arial"/>
      <w:sz w:val="22"/>
      <w:lang w:val="en-GB" w:eastAsia="en-US"/>
    </w:rPr>
  </w:style>
  <w:style w:type="paragraph" w:styleId="BodyText2">
    <w:name w:val="Body Text 2"/>
    <w:basedOn w:val="Normal"/>
    <w:link w:val="BodyText2Char"/>
    <w:uiPriority w:val="99"/>
    <w:semiHidden/>
    <w:rsid w:val="00FF757F"/>
    <w:pPr>
      <w:spacing w:after="120" w:line="480" w:lineRule="auto"/>
    </w:pPr>
  </w:style>
  <w:style w:type="character" w:customStyle="1" w:styleId="BodyText2Char">
    <w:name w:val="Body Text 2 Char"/>
    <w:basedOn w:val="DefaultParagraphFont"/>
    <w:link w:val="BodyText2"/>
    <w:uiPriority w:val="99"/>
    <w:semiHidden/>
    <w:rsid w:val="00FF757F"/>
    <w:rPr>
      <w:rFonts w:ascii="Arial" w:hAnsi="Arial"/>
      <w:sz w:val="22"/>
      <w:lang w:val="en-GB" w:eastAsia="en-US"/>
    </w:rPr>
  </w:style>
  <w:style w:type="paragraph" w:styleId="BodyText3">
    <w:name w:val="Body Text 3"/>
    <w:basedOn w:val="Normal"/>
    <w:link w:val="BodyText3Char"/>
    <w:uiPriority w:val="99"/>
    <w:semiHidden/>
    <w:rsid w:val="00FF757F"/>
    <w:pPr>
      <w:spacing w:after="120"/>
    </w:pPr>
    <w:rPr>
      <w:sz w:val="16"/>
      <w:szCs w:val="16"/>
    </w:rPr>
  </w:style>
  <w:style w:type="character" w:customStyle="1" w:styleId="BodyText3Char">
    <w:name w:val="Body Text 3 Char"/>
    <w:basedOn w:val="DefaultParagraphFont"/>
    <w:link w:val="BodyText3"/>
    <w:uiPriority w:val="99"/>
    <w:semiHidden/>
    <w:rsid w:val="00FF757F"/>
    <w:rPr>
      <w:rFonts w:ascii="Arial" w:hAnsi="Arial"/>
      <w:sz w:val="16"/>
      <w:szCs w:val="16"/>
      <w:lang w:val="en-GB" w:eastAsia="en-US"/>
    </w:rPr>
  </w:style>
  <w:style w:type="paragraph" w:styleId="BodyTextFirstIndent">
    <w:name w:val="Body Text First Indent"/>
    <w:basedOn w:val="BodyText"/>
    <w:link w:val="BodyTextFirstIndentChar"/>
    <w:uiPriority w:val="99"/>
    <w:semiHidden/>
    <w:rsid w:val="00FF757F"/>
    <w:pPr>
      <w:spacing w:after="240"/>
      <w:ind w:firstLine="360"/>
    </w:pPr>
  </w:style>
  <w:style w:type="character" w:customStyle="1" w:styleId="BodyTextFirstIndentChar">
    <w:name w:val="Body Text First Indent Char"/>
    <w:basedOn w:val="BodyTextChar"/>
    <w:link w:val="BodyTextFirstIndent"/>
    <w:uiPriority w:val="99"/>
    <w:semiHidden/>
    <w:rsid w:val="00FF757F"/>
    <w:rPr>
      <w:rFonts w:ascii="Arial" w:hAnsi="Arial"/>
      <w:sz w:val="22"/>
      <w:lang w:val="en-GB" w:eastAsia="en-US"/>
    </w:rPr>
  </w:style>
  <w:style w:type="paragraph" w:styleId="BodyTextIndent">
    <w:name w:val="Body Text Indent"/>
    <w:basedOn w:val="Normal"/>
    <w:link w:val="BodyTextIndentChar"/>
    <w:uiPriority w:val="99"/>
    <w:semiHidden/>
    <w:rsid w:val="00FF757F"/>
    <w:pPr>
      <w:spacing w:after="120"/>
      <w:ind w:left="283"/>
    </w:pPr>
  </w:style>
  <w:style w:type="character" w:customStyle="1" w:styleId="BodyTextIndentChar">
    <w:name w:val="Body Text Indent Char"/>
    <w:basedOn w:val="DefaultParagraphFont"/>
    <w:link w:val="BodyTextIndent"/>
    <w:uiPriority w:val="99"/>
    <w:semiHidden/>
    <w:rsid w:val="00FF757F"/>
    <w:rPr>
      <w:rFonts w:ascii="Arial" w:hAnsi="Arial"/>
      <w:sz w:val="22"/>
      <w:lang w:val="en-GB" w:eastAsia="en-US"/>
    </w:rPr>
  </w:style>
  <w:style w:type="paragraph" w:styleId="BodyTextFirstIndent2">
    <w:name w:val="Body Text First Indent 2"/>
    <w:basedOn w:val="BodyTextIndent"/>
    <w:link w:val="BodyTextFirstIndent2Char"/>
    <w:uiPriority w:val="99"/>
    <w:semiHidden/>
    <w:rsid w:val="00FF757F"/>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FF757F"/>
    <w:rPr>
      <w:rFonts w:ascii="Arial" w:hAnsi="Arial"/>
      <w:sz w:val="22"/>
      <w:lang w:val="en-GB" w:eastAsia="en-US"/>
    </w:rPr>
  </w:style>
  <w:style w:type="paragraph" w:styleId="BodyTextIndent2">
    <w:name w:val="Body Text Indent 2"/>
    <w:basedOn w:val="Normal"/>
    <w:link w:val="BodyTextIndent2Char"/>
    <w:uiPriority w:val="99"/>
    <w:semiHidden/>
    <w:rsid w:val="00FF757F"/>
    <w:pPr>
      <w:spacing w:after="120" w:line="480" w:lineRule="auto"/>
      <w:ind w:left="283"/>
    </w:pPr>
  </w:style>
  <w:style w:type="character" w:customStyle="1" w:styleId="BodyTextIndent2Char">
    <w:name w:val="Body Text Indent 2 Char"/>
    <w:basedOn w:val="DefaultParagraphFont"/>
    <w:link w:val="BodyTextIndent2"/>
    <w:uiPriority w:val="99"/>
    <w:semiHidden/>
    <w:rsid w:val="00FF757F"/>
    <w:rPr>
      <w:rFonts w:ascii="Arial" w:hAnsi="Arial"/>
      <w:sz w:val="22"/>
      <w:lang w:val="en-GB" w:eastAsia="en-US"/>
    </w:rPr>
  </w:style>
  <w:style w:type="paragraph" w:styleId="BodyTextIndent3">
    <w:name w:val="Body Text Indent 3"/>
    <w:basedOn w:val="Normal"/>
    <w:link w:val="BodyTextIndent3Char"/>
    <w:uiPriority w:val="99"/>
    <w:semiHidden/>
    <w:rsid w:val="00FF757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F757F"/>
    <w:rPr>
      <w:rFonts w:ascii="Arial" w:hAnsi="Arial"/>
      <w:sz w:val="16"/>
      <w:szCs w:val="16"/>
      <w:lang w:val="en-GB" w:eastAsia="en-US"/>
    </w:rPr>
  </w:style>
  <w:style w:type="paragraph" w:styleId="Closing">
    <w:name w:val="Closing"/>
    <w:basedOn w:val="Normal"/>
    <w:link w:val="ClosingChar"/>
    <w:uiPriority w:val="99"/>
    <w:semiHidden/>
    <w:rsid w:val="00FF757F"/>
    <w:pPr>
      <w:spacing w:before="0" w:after="0"/>
      <w:ind w:left="4252"/>
    </w:pPr>
  </w:style>
  <w:style w:type="character" w:customStyle="1" w:styleId="ClosingChar">
    <w:name w:val="Closing Char"/>
    <w:basedOn w:val="DefaultParagraphFont"/>
    <w:link w:val="Closing"/>
    <w:uiPriority w:val="99"/>
    <w:semiHidden/>
    <w:rsid w:val="00FF757F"/>
    <w:rPr>
      <w:rFonts w:ascii="Arial" w:hAnsi="Arial"/>
      <w:sz w:val="22"/>
      <w:lang w:val="en-GB" w:eastAsia="en-US"/>
    </w:rPr>
  </w:style>
  <w:style w:type="paragraph" w:styleId="CommentText">
    <w:name w:val="annotation text"/>
    <w:basedOn w:val="Normal"/>
    <w:link w:val="CommentTextChar"/>
    <w:uiPriority w:val="99"/>
    <w:rsid w:val="00FF757F"/>
    <w:rPr>
      <w:sz w:val="20"/>
      <w:szCs w:val="20"/>
    </w:rPr>
  </w:style>
  <w:style w:type="character" w:customStyle="1" w:styleId="CommentTextChar">
    <w:name w:val="Comment Text Char"/>
    <w:basedOn w:val="DefaultParagraphFont"/>
    <w:link w:val="CommentText"/>
    <w:uiPriority w:val="99"/>
    <w:rsid w:val="00FF757F"/>
    <w:rPr>
      <w:rFonts w:ascii="Arial" w:hAnsi="Arial"/>
      <w:sz w:val="20"/>
      <w:szCs w:val="20"/>
      <w:lang w:val="en-GB" w:eastAsia="en-US"/>
    </w:rPr>
  </w:style>
  <w:style w:type="paragraph" w:styleId="CommentSubject">
    <w:name w:val="annotation subject"/>
    <w:basedOn w:val="CommentText"/>
    <w:next w:val="CommentText"/>
    <w:link w:val="CommentSubjectChar"/>
    <w:uiPriority w:val="99"/>
    <w:semiHidden/>
    <w:rsid w:val="00FF757F"/>
    <w:rPr>
      <w:b/>
      <w:bCs/>
    </w:rPr>
  </w:style>
  <w:style w:type="character" w:customStyle="1" w:styleId="CommentSubjectChar">
    <w:name w:val="Comment Subject Char"/>
    <w:basedOn w:val="CommentTextChar"/>
    <w:link w:val="CommentSubject"/>
    <w:uiPriority w:val="99"/>
    <w:semiHidden/>
    <w:rsid w:val="00FF757F"/>
    <w:rPr>
      <w:rFonts w:ascii="Arial" w:hAnsi="Arial"/>
      <w:b/>
      <w:bCs/>
      <w:sz w:val="20"/>
      <w:szCs w:val="20"/>
      <w:lang w:val="en-GB" w:eastAsia="en-US"/>
    </w:rPr>
  </w:style>
  <w:style w:type="paragraph" w:styleId="Date">
    <w:name w:val="Date"/>
    <w:basedOn w:val="Normal"/>
    <w:next w:val="Normal"/>
    <w:link w:val="DateChar"/>
    <w:uiPriority w:val="99"/>
    <w:semiHidden/>
    <w:rsid w:val="00FF757F"/>
  </w:style>
  <w:style w:type="character" w:customStyle="1" w:styleId="DateChar">
    <w:name w:val="Date Char"/>
    <w:basedOn w:val="DefaultParagraphFont"/>
    <w:link w:val="Date"/>
    <w:uiPriority w:val="99"/>
    <w:semiHidden/>
    <w:rsid w:val="00FF757F"/>
    <w:rPr>
      <w:rFonts w:ascii="Arial" w:hAnsi="Arial"/>
      <w:sz w:val="22"/>
      <w:lang w:val="en-GB" w:eastAsia="en-US"/>
    </w:rPr>
  </w:style>
  <w:style w:type="paragraph" w:styleId="DocumentMap">
    <w:name w:val="Document Map"/>
    <w:basedOn w:val="Normal"/>
    <w:link w:val="DocumentMapChar"/>
    <w:uiPriority w:val="99"/>
    <w:semiHidden/>
    <w:rsid w:val="00FF757F"/>
    <w:pPr>
      <w:spacing w:before="0"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FF757F"/>
    <w:rPr>
      <w:rFonts w:ascii="Tahoma" w:hAnsi="Tahoma" w:cs="Tahoma"/>
      <w:sz w:val="16"/>
      <w:szCs w:val="16"/>
      <w:lang w:val="en-GB" w:eastAsia="en-US"/>
    </w:rPr>
  </w:style>
  <w:style w:type="paragraph" w:styleId="E-mailSignature">
    <w:name w:val="E-mail Signature"/>
    <w:basedOn w:val="Normal"/>
    <w:link w:val="E-mailSignatureChar"/>
    <w:uiPriority w:val="99"/>
    <w:semiHidden/>
    <w:rsid w:val="00FF757F"/>
    <w:pPr>
      <w:spacing w:before="0" w:after="0"/>
    </w:pPr>
  </w:style>
  <w:style w:type="character" w:customStyle="1" w:styleId="E-mailSignatureChar">
    <w:name w:val="E-mail Signature Char"/>
    <w:basedOn w:val="DefaultParagraphFont"/>
    <w:link w:val="E-mailSignature"/>
    <w:uiPriority w:val="99"/>
    <w:semiHidden/>
    <w:rsid w:val="00FF757F"/>
    <w:rPr>
      <w:rFonts w:ascii="Arial" w:hAnsi="Arial"/>
      <w:sz w:val="22"/>
      <w:lang w:val="en-GB" w:eastAsia="en-US"/>
    </w:rPr>
  </w:style>
  <w:style w:type="paragraph" w:styleId="EndnoteText">
    <w:name w:val="endnote text"/>
    <w:basedOn w:val="Normal"/>
    <w:link w:val="EndnoteTextChar"/>
    <w:uiPriority w:val="99"/>
    <w:semiHidden/>
    <w:rsid w:val="00FF757F"/>
    <w:pPr>
      <w:spacing w:before="0" w:after="0"/>
    </w:pPr>
    <w:rPr>
      <w:sz w:val="20"/>
      <w:szCs w:val="20"/>
    </w:rPr>
  </w:style>
  <w:style w:type="character" w:customStyle="1" w:styleId="EndnoteTextChar">
    <w:name w:val="Endnote Text Char"/>
    <w:basedOn w:val="DefaultParagraphFont"/>
    <w:link w:val="EndnoteText"/>
    <w:uiPriority w:val="99"/>
    <w:semiHidden/>
    <w:rsid w:val="00FF757F"/>
    <w:rPr>
      <w:rFonts w:ascii="Arial" w:hAnsi="Arial"/>
      <w:sz w:val="20"/>
      <w:szCs w:val="20"/>
      <w:lang w:val="en-GB" w:eastAsia="en-US"/>
    </w:rPr>
  </w:style>
  <w:style w:type="paragraph" w:styleId="EnvelopeAddress">
    <w:name w:val="envelope address"/>
    <w:basedOn w:val="Normal"/>
    <w:uiPriority w:val="99"/>
    <w:semiHidden/>
    <w:rsid w:val="00FF757F"/>
    <w:pPr>
      <w:framePr w:w="7920" w:h="1980" w:hRule="exact" w:hSpace="180" w:wrap="auto" w:hAnchor="page" w:xAlign="center" w:yAlign="bottom"/>
      <w:spacing w:before="0" w:after="0"/>
      <w:ind w:left="2880"/>
    </w:pPr>
    <w:rPr>
      <w:rFonts w:asciiTheme="majorHAnsi" w:eastAsiaTheme="majorEastAsia" w:hAnsiTheme="majorHAnsi" w:cstheme="majorBidi"/>
      <w:sz w:val="24"/>
    </w:rPr>
  </w:style>
  <w:style w:type="paragraph" w:styleId="EnvelopeReturn">
    <w:name w:val="envelope return"/>
    <w:basedOn w:val="Normal"/>
    <w:uiPriority w:val="99"/>
    <w:semiHidden/>
    <w:rsid w:val="00FF757F"/>
    <w:pPr>
      <w:spacing w:before="0" w:after="0"/>
    </w:pPr>
    <w:rPr>
      <w:rFonts w:asciiTheme="majorHAnsi" w:eastAsiaTheme="majorEastAsia" w:hAnsiTheme="majorHAnsi" w:cstheme="majorBidi"/>
      <w:sz w:val="20"/>
      <w:szCs w:val="20"/>
    </w:rPr>
  </w:style>
  <w:style w:type="paragraph" w:styleId="HTMLAddress">
    <w:name w:val="HTML Address"/>
    <w:basedOn w:val="Normal"/>
    <w:link w:val="HTMLAddressChar"/>
    <w:uiPriority w:val="99"/>
    <w:semiHidden/>
    <w:rsid w:val="00FF757F"/>
    <w:pPr>
      <w:spacing w:before="0" w:after="0"/>
    </w:pPr>
    <w:rPr>
      <w:i/>
      <w:iCs/>
    </w:rPr>
  </w:style>
  <w:style w:type="character" w:customStyle="1" w:styleId="HTMLAddressChar">
    <w:name w:val="HTML Address Char"/>
    <w:basedOn w:val="DefaultParagraphFont"/>
    <w:link w:val="HTMLAddress"/>
    <w:uiPriority w:val="99"/>
    <w:semiHidden/>
    <w:rsid w:val="00FF757F"/>
    <w:rPr>
      <w:rFonts w:ascii="Arial" w:hAnsi="Arial"/>
      <w:i/>
      <w:iCs/>
      <w:sz w:val="22"/>
      <w:lang w:val="en-GB" w:eastAsia="en-US"/>
    </w:rPr>
  </w:style>
  <w:style w:type="paragraph" w:styleId="HTMLPreformatted">
    <w:name w:val="HTML Preformatted"/>
    <w:basedOn w:val="Normal"/>
    <w:link w:val="HTMLPreformattedChar"/>
    <w:uiPriority w:val="99"/>
    <w:semiHidden/>
    <w:rsid w:val="00FF757F"/>
    <w:pPr>
      <w:spacing w:before="0"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F757F"/>
    <w:rPr>
      <w:rFonts w:ascii="Consolas" w:hAnsi="Consolas" w:cs="Consolas"/>
      <w:sz w:val="20"/>
      <w:szCs w:val="20"/>
      <w:lang w:val="en-GB" w:eastAsia="en-US"/>
    </w:rPr>
  </w:style>
  <w:style w:type="paragraph" w:styleId="Index1">
    <w:name w:val="index 1"/>
    <w:basedOn w:val="Normal"/>
    <w:next w:val="Normal"/>
    <w:uiPriority w:val="99"/>
    <w:semiHidden/>
    <w:rsid w:val="00FF757F"/>
    <w:pPr>
      <w:spacing w:before="0" w:after="0"/>
      <w:ind w:left="220" w:hanging="220"/>
    </w:pPr>
  </w:style>
  <w:style w:type="paragraph" w:styleId="Index2">
    <w:name w:val="index 2"/>
    <w:basedOn w:val="Normal"/>
    <w:next w:val="Normal"/>
    <w:uiPriority w:val="99"/>
    <w:semiHidden/>
    <w:rsid w:val="00FF757F"/>
    <w:pPr>
      <w:spacing w:before="0" w:after="0"/>
      <w:ind w:left="440" w:hanging="220"/>
    </w:pPr>
  </w:style>
  <w:style w:type="paragraph" w:styleId="Index3">
    <w:name w:val="index 3"/>
    <w:basedOn w:val="Normal"/>
    <w:next w:val="Normal"/>
    <w:uiPriority w:val="99"/>
    <w:semiHidden/>
    <w:rsid w:val="00FF757F"/>
    <w:pPr>
      <w:spacing w:before="0" w:after="0"/>
      <w:ind w:left="660" w:hanging="220"/>
    </w:pPr>
  </w:style>
  <w:style w:type="paragraph" w:styleId="Index4">
    <w:name w:val="index 4"/>
    <w:basedOn w:val="Normal"/>
    <w:next w:val="Normal"/>
    <w:uiPriority w:val="99"/>
    <w:semiHidden/>
    <w:rsid w:val="00FF757F"/>
    <w:pPr>
      <w:spacing w:before="0" w:after="0"/>
      <w:ind w:left="880" w:hanging="220"/>
    </w:pPr>
  </w:style>
  <w:style w:type="paragraph" w:styleId="Index5">
    <w:name w:val="index 5"/>
    <w:basedOn w:val="Normal"/>
    <w:next w:val="Normal"/>
    <w:uiPriority w:val="99"/>
    <w:semiHidden/>
    <w:rsid w:val="00FF757F"/>
    <w:pPr>
      <w:spacing w:before="0" w:after="0"/>
      <w:ind w:left="1100" w:hanging="220"/>
    </w:pPr>
  </w:style>
  <w:style w:type="paragraph" w:styleId="Index6">
    <w:name w:val="index 6"/>
    <w:basedOn w:val="Normal"/>
    <w:next w:val="Normal"/>
    <w:uiPriority w:val="99"/>
    <w:semiHidden/>
    <w:rsid w:val="00FF757F"/>
    <w:pPr>
      <w:spacing w:before="0" w:after="0"/>
      <w:ind w:left="1320" w:hanging="220"/>
    </w:pPr>
  </w:style>
  <w:style w:type="paragraph" w:styleId="Index7">
    <w:name w:val="index 7"/>
    <w:basedOn w:val="Normal"/>
    <w:next w:val="Normal"/>
    <w:uiPriority w:val="99"/>
    <w:semiHidden/>
    <w:rsid w:val="00FF757F"/>
    <w:pPr>
      <w:spacing w:before="0" w:after="0"/>
      <w:ind w:left="1540" w:hanging="220"/>
    </w:pPr>
  </w:style>
  <w:style w:type="paragraph" w:styleId="Index8">
    <w:name w:val="index 8"/>
    <w:basedOn w:val="Normal"/>
    <w:next w:val="Normal"/>
    <w:uiPriority w:val="99"/>
    <w:semiHidden/>
    <w:rsid w:val="00FF757F"/>
    <w:pPr>
      <w:spacing w:before="0" w:after="0"/>
      <w:ind w:left="1760" w:hanging="220"/>
    </w:pPr>
  </w:style>
  <w:style w:type="paragraph" w:styleId="Index9">
    <w:name w:val="index 9"/>
    <w:basedOn w:val="Normal"/>
    <w:next w:val="Normal"/>
    <w:uiPriority w:val="99"/>
    <w:semiHidden/>
    <w:rsid w:val="00FF757F"/>
    <w:pPr>
      <w:spacing w:before="0" w:after="0"/>
      <w:ind w:left="1980" w:hanging="220"/>
    </w:pPr>
  </w:style>
  <w:style w:type="paragraph" w:styleId="IndexHeading">
    <w:name w:val="index heading"/>
    <w:basedOn w:val="Normal"/>
    <w:next w:val="Index1"/>
    <w:uiPriority w:val="99"/>
    <w:semiHidden/>
    <w:rsid w:val="00FF757F"/>
    <w:rPr>
      <w:rFonts w:asciiTheme="majorHAnsi" w:eastAsiaTheme="majorEastAsia" w:hAnsiTheme="majorHAnsi" w:cstheme="majorBidi"/>
      <w:b/>
      <w:bCs/>
    </w:rPr>
  </w:style>
  <w:style w:type="paragraph" w:styleId="IntenseQuote">
    <w:name w:val="Intense Quote"/>
    <w:basedOn w:val="Normal"/>
    <w:next w:val="Normal"/>
    <w:link w:val="IntenseQuoteChar"/>
    <w:uiPriority w:val="30"/>
    <w:semiHidden/>
    <w:qFormat/>
    <w:rsid w:val="00FF757F"/>
    <w:pPr>
      <w:pBdr>
        <w:bottom w:val="single" w:sz="4" w:space="4" w:color="5C2071" w:themeColor="accent1"/>
      </w:pBdr>
      <w:spacing w:before="200" w:after="280"/>
      <w:ind w:left="936" w:right="936"/>
    </w:pPr>
    <w:rPr>
      <w:b/>
      <w:bCs/>
      <w:i/>
      <w:iCs/>
      <w:color w:val="5C2071" w:themeColor="accent1"/>
    </w:rPr>
  </w:style>
  <w:style w:type="character" w:customStyle="1" w:styleId="IntenseQuoteChar">
    <w:name w:val="Intense Quote Char"/>
    <w:basedOn w:val="DefaultParagraphFont"/>
    <w:link w:val="IntenseQuote"/>
    <w:uiPriority w:val="30"/>
    <w:semiHidden/>
    <w:rsid w:val="00FF757F"/>
    <w:rPr>
      <w:rFonts w:ascii="Arial" w:hAnsi="Arial"/>
      <w:b/>
      <w:bCs/>
      <w:i/>
      <w:iCs/>
      <w:color w:val="5C2071" w:themeColor="accent1"/>
      <w:sz w:val="22"/>
      <w:lang w:val="en-GB" w:eastAsia="en-US"/>
    </w:rPr>
  </w:style>
  <w:style w:type="paragraph" w:styleId="List2">
    <w:name w:val="List 2"/>
    <w:basedOn w:val="Normal"/>
    <w:uiPriority w:val="99"/>
    <w:semiHidden/>
    <w:rsid w:val="00FF757F"/>
    <w:pPr>
      <w:ind w:left="566" w:hanging="283"/>
      <w:contextualSpacing/>
    </w:pPr>
  </w:style>
  <w:style w:type="paragraph" w:styleId="List3">
    <w:name w:val="List 3"/>
    <w:basedOn w:val="Normal"/>
    <w:uiPriority w:val="99"/>
    <w:semiHidden/>
    <w:rsid w:val="00FF757F"/>
    <w:pPr>
      <w:ind w:left="849" w:hanging="283"/>
      <w:contextualSpacing/>
    </w:pPr>
  </w:style>
  <w:style w:type="paragraph" w:styleId="List4">
    <w:name w:val="List 4"/>
    <w:basedOn w:val="Normal"/>
    <w:uiPriority w:val="99"/>
    <w:semiHidden/>
    <w:rsid w:val="00FF757F"/>
    <w:pPr>
      <w:ind w:left="1132" w:hanging="283"/>
      <w:contextualSpacing/>
    </w:pPr>
  </w:style>
  <w:style w:type="paragraph" w:styleId="List5">
    <w:name w:val="List 5"/>
    <w:basedOn w:val="Normal"/>
    <w:uiPriority w:val="99"/>
    <w:semiHidden/>
    <w:rsid w:val="00FF757F"/>
    <w:pPr>
      <w:ind w:left="1415" w:hanging="283"/>
      <w:contextualSpacing/>
    </w:pPr>
  </w:style>
  <w:style w:type="paragraph" w:styleId="ListContinue">
    <w:name w:val="List Continue"/>
    <w:basedOn w:val="Normal"/>
    <w:uiPriority w:val="99"/>
    <w:semiHidden/>
    <w:rsid w:val="00FF757F"/>
    <w:pPr>
      <w:spacing w:after="120"/>
      <w:ind w:left="283"/>
      <w:contextualSpacing/>
    </w:pPr>
  </w:style>
  <w:style w:type="paragraph" w:styleId="ListContinue2">
    <w:name w:val="List Continue 2"/>
    <w:basedOn w:val="Normal"/>
    <w:uiPriority w:val="99"/>
    <w:semiHidden/>
    <w:rsid w:val="00FF757F"/>
    <w:pPr>
      <w:spacing w:after="120"/>
      <w:ind w:left="566"/>
      <w:contextualSpacing/>
    </w:pPr>
  </w:style>
  <w:style w:type="paragraph" w:styleId="ListContinue3">
    <w:name w:val="List Continue 3"/>
    <w:basedOn w:val="Normal"/>
    <w:uiPriority w:val="99"/>
    <w:semiHidden/>
    <w:rsid w:val="00FF757F"/>
    <w:pPr>
      <w:spacing w:after="120"/>
      <w:ind w:left="849"/>
      <w:contextualSpacing/>
    </w:pPr>
  </w:style>
  <w:style w:type="paragraph" w:styleId="ListContinue4">
    <w:name w:val="List Continue 4"/>
    <w:basedOn w:val="Normal"/>
    <w:uiPriority w:val="99"/>
    <w:semiHidden/>
    <w:rsid w:val="00FF757F"/>
    <w:pPr>
      <w:spacing w:after="120"/>
      <w:ind w:left="1132"/>
      <w:contextualSpacing/>
    </w:pPr>
  </w:style>
  <w:style w:type="paragraph" w:styleId="ListContinue5">
    <w:name w:val="List Continue 5"/>
    <w:basedOn w:val="Normal"/>
    <w:uiPriority w:val="99"/>
    <w:semiHidden/>
    <w:rsid w:val="00FF757F"/>
    <w:pPr>
      <w:spacing w:after="120"/>
      <w:ind w:left="1415"/>
      <w:contextualSpacing/>
    </w:pPr>
  </w:style>
  <w:style w:type="paragraph" w:styleId="ListNumber4">
    <w:name w:val="List Number 4"/>
    <w:basedOn w:val="Normal"/>
    <w:uiPriority w:val="99"/>
    <w:semiHidden/>
    <w:rsid w:val="00FF757F"/>
    <w:pPr>
      <w:numPr>
        <w:numId w:val="1"/>
      </w:numPr>
      <w:contextualSpacing/>
    </w:pPr>
  </w:style>
  <w:style w:type="paragraph" w:styleId="ListNumber5">
    <w:name w:val="List Number 5"/>
    <w:basedOn w:val="Normal"/>
    <w:uiPriority w:val="99"/>
    <w:semiHidden/>
    <w:rsid w:val="00FF757F"/>
    <w:pPr>
      <w:numPr>
        <w:numId w:val="14"/>
      </w:numPr>
      <w:contextualSpacing/>
    </w:pPr>
  </w:style>
  <w:style w:type="paragraph" w:styleId="ListParagraph">
    <w:name w:val="List Paragraph"/>
    <w:basedOn w:val="Normal"/>
    <w:link w:val="ListParagraphChar"/>
    <w:uiPriority w:val="34"/>
    <w:qFormat/>
    <w:rsid w:val="00FF757F"/>
    <w:pPr>
      <w:ind w:left="720"/>
      <w:contextualSpacing/>
    </w:pPr>
  </w:style>
  <w:style w:type="paragraph" w:styleId="MacroText">
    <w:name w:val="macro"/>
    <w:link w:val="MacroTextChar"/>
    <w:uiPriority w:val="99"/>
    <w:semiHidden/>
    <w:rsid w:val="00FF757F"/>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Consolas"/>
      <w:sz w:val="20"/>
      <w:szCs w:val="20"/>
      <w:lang w:val="en-GB" w:eastAsia="en-US"/>
    </w:rPr>
  </w:style>
  <w:style w:type="character" w:customStyle="1" w:styleId="MacroTextChar">
    <w:name w:val="Macro Text Char"/>
    <w:basedOn w:val="DefaultParagraphFont"/>
    <w:link w:val="MacroText"/>
    <w:uiPriority w:val="99"/>
    <w:semiHidden/>
    <w:rsid w:val="00FF757F"/>
    <w:rPr>
      <w:rFonts w:ascii="Consolas" w:hAnsi="Consolas" w:cs="Consolas"/>
      <w:sz w:val="20"/>
      <w:szCs w:val="20"/>
      <w:lang w:val="en-GB" w:eastAsia="en-US"/>
    </w:rPr>
  </w:style>
  <w:style w:type="paragraph" w:styleId="MessageHeader">
    <w:name w:val="Message Header"/>
    <w:basedOn w:val="Normal"/>
    <w:link w:val="MessageHeaderChar"/>
    <w:uiPriority w:val="99"/>
    <w:semiHidden/>
    <w:rsid w:val="00FF757F"/>
    <w:pPr>
      <w:pBdr>
        <w:top w:val="single" w:sz="6" w:space="1" w:color="auto"/>
        <w:left w:val="single" w:sz="6" w:space="1" w:color="auto"/>
        <w:bottom w:val="single" w:sz="6" w:space="1" w:color="auto"/>
        <w:right w:val="single" w:sz="6" w:space="1" w:color="auto"/>
      </w:pBdr>
      <w:shd w:val="pct20" w:color="auto" w:fill="auto"/>
      <w:spacing w:before="0"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sid w:val="00FF757F"/>
    <w:rPr>
      <w:rFonts w:asciiTheme="majorHAnsi" w:eastAsiaTheme="majorEastAsia" w:hAnsiTheme="majorHAnsi" w:cstheme="majorBidi"/>
      <w:shd w:val="pct20" w:color="auto" w:fill="auto"/>
      <w:lang w:val="en-GB" w:eastAsia="en-US"/>
    </w:rPr>
  </w:style>
  <w:style w:type="paragraph" w:styleId="NoSpacing">
    <w:name w:val="No Spacing"/>
    <w:link w:val="NoSpacingChar"/>
    <w:uiPriority w:val="1"/>
    <w:qFormat/>
    <w:rsid w:val="00FF757F"/>
    <w:rPr>
      <w:rFonts w:ascii="Arial" w:hAnsi="Arial"/>
      <w:sz w:val="22"/>
      <w:lang w:val="en-GB" w:eastAsia="en-US"/>
    </w:rPr>
  </w:style>
  <w:style w:type="paragraph" w:styleId="NormalIndent">
    <w:name w:val="Normal Indent"/>
    <w:basedOn w:val="Normal"/>
    <w:uiPriority w:val="99"/>
    <w:semiHidden/>
    <w:rsid w:val="00FF757F"/>
    <w:pPr>
      <w:ind w:left="720"/>
    </w:pPr>
  </w:style>
  <w:style w:type="paragraph" w:styleId="NoteHeading">
    <w:name w:val="Note Heading"/>
    <w:basedOn w:val="Normal"/>
    <w:next w:val="Normal"/>
    <w:link w:val="NoteHeadingChar"/>
    <w:uiPriority w:val="99"/>
    <w:semiHidden/>
    <w:rsid w:val="00FF757F"/>
    <w:pPr>
      <w:spacing w:before="0" w:after="0"/>
    </w:pPr>
  </w:style>
  <w:style w:type="character" w:customStyle="1" w:styleId="NoteHeadingChar">
    <w:name w:val="Note Heading Char"/>
    <w:basedOn w:val="DefaultParagraphFont"/>
    <w:link w:val="NoteHeading"/>
    <w:uiPriority w:val="99"/>
    <w:semiHidden/>
    <w:rsid w:val="00FF757F"/>
    <w:rPr>
      <w:rFonts w:ascii="Arial" w:hAnsi="Arial"/>
      <w:sz w:val="22"/>
      <w:lang w:val="en-GB" w:eastAsia="en-US"/>
    </w:rPr>
  </w:style>
  <w:style w:type="paragraph" w:styleId="PlainText">
    <w:name w:val="Plain Text"/>
    <w:basedOn w:val="Normal"/>
    <w:link w:val="PlainTextChar"/>
    <w:uiPriority w:val="99"/>
    <w:semiHidden/>
    <w:rsid w:val="00FF757F"/>
    <w:pPr>
      <w:spacing w:before="0" w:after="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F757F"/>
    <w:rPr>
      <w:rFonts w:ascii="Consolas" w:hAnsi="Consolas" w:cs="Consolas"/>
      <w:sz w:val="21"/>
      <w:szCs w:val="21"/>
      <w:lang w:val="en-GB" w:eastAsia="en-US"/>
    </w:rPr>
  </w:style>
  <w:style w:type="paragraph" w:styleId="Salutation">
    <w:name w:val="Salutation"/>
    <w:basedOn w:val="Normal"/>
    <w:next w:val="Normal"/>
    <w:link w:val="SalutationChar"/>
    <w:uiPriority w:val="99"/>
    <w:semiHidden/>
    <w:rsid w:val="00FF757F"/>
  </w:style>
  <w:style w:type="character" w:customStyle="1" w:styleId="SalutationChar">
    <w:name w:val="Salutation Char"/>
    <w:basedOn w:val="DefaultParagraphFont"/>
    <w:link w:val="Salutation"/>
    <w:uiPriority w:val="99"/>
    <w:semiHidden/>
    <w:rsid w:val="00FF757F"/>
    <w:rPr>
      <w:rFonts w:ascii="Arial" w:hAnsi="Arial"/>
      <w:sz w:val="22"/>
      <w:lang w:val="en-GB" w:eastAsia="en-US"/>
    </w:rPr>
  </w:style>
  <w:style w:type="paragraph" w:styleId="Signature">
    <w:name w:val="Signature"/>
    <w:basedOn w:val="Normal"/>
    <w:link w:val="SignatureChar"/>
    <w:uiPriority w:val="99"/>
    <w:semiHidden/>
    <w:rsid w:val="00FF757F"/>
    <w:pPr>
      <w:spacing w:before="0" w:after="0"/>
      <w:ind w:left="4252"/>
    </w:pPr>
  </w:style>
  <w:style w:type="character" w:customStyle="1" w:styleId="SignatureChar">
    <w:name w:val="Signature Char"/>
    <w:basedOn w:val="DefaultParagraphFont"/>
    <w:link w:val="Signature"/>
    <w:uiPriority w:val="99"/>
    <w:semiHidden/>
    <w:rsid w:val="00FF757F"/>
    <w:rPr>
      <w:rFonts w:ascii="Arial" w:hAnsi="Arial"/>
      <w:sz w:val="22"/>
      <w:lang w:val="en-GB" w:eastAsia="en-US"/>
    </w:rPr>
  </w:style>
  <w:style w:type="paragraph" w:styleId="Subtitle">
    <w:name w:val="Subtitle"/>
    <w:basedOn w:val="Normal"/>
    <w:next w:val="Normal"/>
    <w:link w:val="SubtitleChar"/>
    <w:uiPriority w:val="11"/>
    <w:semiHidden/>
    <w:qFormat/>
    <w:rsid w:val="00FF757F"/>
    <w:pPr>
      <w:numPr>
        <w:ilvl w:val="1"/>
      </w:numPr>
    </w:pPr>
    <w:rPr>
      <w:rFonts w:asciiTheme="majorHAnsi" w:eastAsiaTheme="majorEastAsia" w:hAnsiTheme="majorHAnsi" w:cstheme="majorBidi"/>
      <w:i/>
      <w:iCs/>
      <w:color w:val="5C2071" w:themeColor="accent1"/>
      <w:spacing w:val="15"/>
      <w:sz w:val="24"/>
    </w:rPr>
  </w:style>
  <w:style w:type="character" w:customStyle="1" w:styleId="SubtitleChar">
    <w:name w:val="Subtitle Char"/>
    <w:basedOn w:val="DefaultParagraphFont"/>
    <w:link w:val="Subtitle"/>
    <w:uiPriority w:val="11"/>
    <w:semiHidden/>
    <w:rsid w:val="00FF757F"/>
    <w:rPr>
      <w:rFonts w:asciiTheme="majorHAnsi" w:eastAsiaTheme="majorEastAsia" w:hAnsiTheme="majorHAnsi" w:cstheme="majorBidi"/>
      <w:i/>
      <w:iCs/>
      <w:color w:val="5C2071" w:themeColor="accent1"/>
      <w:spacing w:val="15"/>
      <w:lang w:val="en-GB" w:eastAsia="en-US"/>
    </w:rPr>
  </w:style>
  <w:style w:type="paragraph" w:styleId="TableofAuthorities">
    <w:name w:val="table of authorities"/>
    <w:basedOn w:val="Normal"/>
    <w:next w:val="Normal"/>
    <w:uiPriority w:val="99"/>
    <w:semiHidden/>
    <w:rsid w:val="00FF757F"/>
    <w:pPr>
      <w:spacing w:after="0"/>
      <w:ind w:left="220" w:hanging="220"/>
    </w:pPr>
  </w:style>
  <w:style w:type="paragraph" w:styleId="TableofFigures">
    <w:name w:val="table of figures"/>
    <w:basedOn w:val="Normal"/>
    <w:next w:val="Normal"/>
    <w:uiPriority w:val="99"/>
    <w:semiHidden/>
    <w:rsid w:val="00FF757F"/>
    <w:pPr>
      <w:spacing w:after="0"/>
    </w:pPr>
  </w:style>
  <w:style w:type="paragraph" w:styleId="Title">
    <w:name w:val="Title"/>
    <w:basedOn w:val="Normal"/>
    <w:next w:val="Normal"/>
    <w:link w:val="TitleChar"/>
    <w:uiPriority w:val="10"/>
    <w:semiHidden/>
    <w:qFormat/>
    <w:rsid w:val="00FF757F"/>
    <w:pPr>
      <w:pBdr>
        <w:bottom w:val="single" w:sz="8" w:space="4" w:color="5C2071" w:themeColor="accent1"/>
      </w:pBdr>
      <w:spacing w:before="0" w:after="300"/>
      <w:contextualSpacing/>
    </w:pPr>
    <w:rPr>
      <w:rFonts w:asciiTheme="majorHAnsi" w:eastAsiaTheme="majorEastAsia" w:hAnsiTheme="majorHAnsi" w:cstheme="majorBidi"/>
      <w:color w:val="3C3D3E" w:themeColor="text2" w:themeShade="BF"/>
      <w:spacing w:val="5"/>
      <w:kern w:val="28"/>
      <w:sz w:val="52"/>
      <w:szCs w:val="52"/>
    </w:rPr>
  </w:style>
  <w:style w:type="character" w:customStyle="1" w:styleId="TitleChar">
    <w:name w:val="Title Char"/>
    <w:basedOn w:val="DefaultParagraphFont"/>
    <w:link w:val="Title"/>
    <w:uiPriority w:val="10"/>
    <w:semiHidden/>
    <w:rsid w:val="00FF757F"/>
    <w:rPr>
      <w:rFonts w:asciiTheme="majorHAnsi" w:eastAsiaTheme="majorEastAsia" w:hAnsiTheme="majorHAnsi" w:cstheme="majorBidi"/>
      <w:color w:val="3C3D3E" w:themeColor="text2" w:themeShade="BF"/>
      <w:spacing w:val="5"/>
      <w:kern w:val="28"/>
      <w:sz w:val="52"/>
      <w:szCs w:val="52"/>
      <w:lang w:val="en-GB" w:eastAsia="en-US"/>
    </w:rPr>
  </w:style>
  <w:style w:type="paragraph" w:styleId="TOC4">
    <w:name w:val="toc 4"/>
    <w:basedOn w:val="Normal"/>
    <w:next w:val="Normal"/>
    <w:uiPriority w:val="39"/>
    <w:semiHidden/>
    <w:unhideWhenUsed/>
    <w:rsid w:val="00FF757F"/>
    <w:pPr>
      <w:spacing w:after="100"/>
      <w:ind w:left="660"/>
    </w:pPr>
  </w:style>
  <w:style w:type="paragraph" w:styleId="TOC5">
    <w:name w:val="toc 5"/>
    <w:basedOn w:val="Normal"/>
    <w:next w:val="Normal"/>
    <w:uiPriority w:val="39"/>
    <w:semiHidden/>
    <w:unhideWhenUsed/>
    <w:rsid w:val="00FF757F"/>
    <w:pPr>
      <w:spacing w:after="100"/>
      <w:ind w:left="880"/>
    </w:pPr>
  </w:style>
  <w:style w:type="paragraph" w:styleId="TOC6">
    <w:name w:val="toc 6"/>
    <w:basedOn w:val="Normal"/>
    <w:next w:val="Normal"/>
    <w:uiPriority w:val="39"/>
    <w:semiHidden/>
    <w:unhideWhenUsed/>
    <w:rsid w:val="00FF757F"/>
    <w:pPr>
      <w:spacing w:after="100"/>
      <w:ind w:left="1100"/>
    </w:pPr>
  </w:style>
  <w:style w:type="paragraph" w:styleId="TOC7">
    <w:name w:val="toc 7"/>
    <w:basedOn w:val="Normal"/>
    <w:next w:val="Normal"/>
    <w:uiPriority w:val="39"/>
    <w:semiHidden/>
    <w:unhideWhenUsed/>
    <w:rsid w:val="00FF757F"/>
    <w:pPr>
      <w:spacing w:after="100"/>
      <w:ind w:left="1320"/>
    </w:pPr>
  </w:style>
  <w:style w:type="paragraph" w:styleId="TOC8">
    <w:name w:val="toc 8"/>
    <w:basedOn w:val="Normal"/>
    <w:next w:val="Normal"/>
    <w:uiPriority w:val="39"/>
    <w:semiHidden/>
    <w:unhideWhenUsed/>
    <w:rsid w:val="00FF757F"/>
    <w:pPr>
      <w:spacing w:after="100"/>
      <w:ind w:left="1540"/>
    </w:pPr>
  </w:style>
  <w:style w:type="paragraph" w:styleId="TOC9">
    <w:name w:val="toc 9"/>
    <w:basedOn w:val="Normal"/>
    <w:next w:val="Normal"/>
    <w:uiPriority w:val="39"/>
    <w:semiHidden/>
    <w:unhideWhenUsed/>
    <w:rsid w:val="00FF757F"/>
    <w:pPr>
      <w:spacing w:after="100"/>
      <w:ind w:left="1760"/>
    </w:pPr>
  </w:style>
  <w:style w:type="paragraph" w:customStyle="1" w:styleId="SoS3">
    <w:name w:val="SoS3"/>
    <w:basedOn w:val="ListParagraph"/>
    <w:qFormat/>
    <w:rsid w:val="007D2211"/>
    <w:pPr>
      <w:numPr>
        <w:numId w:val="17"/>
      </w:numPr>
      <w:spacing w:before="0" w:after="200" w:line="276" w:lineRule="auto"/>
    </w:pPr>
    <w:rPr>
      <w:rFonts w:eastAsiaTheme="minorHAnsi" w:cs="Arial"/>
      <w:szCs w:val="22"/>
    </w:rPr>
  </w:style>
  <w:style w:type="paragraph" w:customStyle="1" w:styleId="SoS2">
    <w:name w:val="SoS2"/>
    <w:basedOn w:val="Heading3"/>
    <w:qFormat/>
    <w:rsid w:val="00DE422B"/>
    <w:pPr>
      <w:keepNext w:val="0"/>
      <w:numPr>
        <w:ilvl w:val="0"/>
        <w:numId w:val="0"/>
      </w:numPr>
      <w:ind w:left="851" w:hanging="851"/>
      <w:jc w:val="both"/>
    </w:pPr>
    <w:rPr>
      <w:rFonts w:ascii="Arial" w:hAnsi="Arial"/>
      <w:b w:val="0"/>
      <w:color w:val="auto"/>
      <w:sz w:val="22"/>
    </w:rPr>
  </w:style>
  <w:style w:type="character" w:styleId="CommentReference">
    <w:name w:val="annotation reference"/>
    <w:basedOn w:val="DefaultParagraphFont"/>
    <w:uiPriority w:val="99"/>
    <w:unhideWhenUsed/>
    <w:rsid w:val="005D515A"/>
    <w:rPr>
      <w:sz w:val="16"/>
      <w:szCs w:val="16"/>
    </w:rPr>
  </w:style>
  <w:style w:type="character" w:customStyle="1" w:styleId="NoSpacingChar">
    <w:name w:val="No Spacing Char"/>
    <w:basedOn w:val="DefaultParagraphFont"/>
    <w:link w:val="NoSpacing"/>
    <w:uiPriority w:val="1"/>
    <w:rsid w:val="005D515A"/>
    <w:rPr>
      <w:rFonts w:ascii="Arial" w:hAnsi="Arial"/>
      <w:sz w:val="22"/>
      <w:lang w:val="en-GB" w:eastAsia="en-US"/>
    </w:rPr>
  </w:style>
  <w:style w:type="paragraph" w:styleId="Revision">
    <w:name w:val="Revision"/>
    <w:hidden/>
    <w:uiPriority w:val="99"/>
    <w:semiHidden/>
    <w:rsid w:val="00AB6291"/>
    <w:rPr>
      <w:rFonts w:ascii="Arial" w:hAnsi="Arial"/>
      <w:sz w:val="22"/>
      <w:lang w:val="en-GB" w:eastAsia="en-US"/>
    </w:rPr>
  </w:style>
  <w:style w:type="character" w:customStyle="1" w:styleId="ListParagraphChar">
    <w:name w:val="List Paragraph Char"/>
    <w:link w:val="ListParagraph"/>
    <w:uiPriority w:val="34"/>
    <w:locked/>
    <w:rsid w:val="00D52006"/>
    <w:rPr>
      <w:rFonts w:ascii="Arial" w:hAnsi="Arial"/>
      <w:sz w:val="22"/>
      <w:lang w:val="en-GB" w:eastAsia="en-US"/>
    </w:rPr>
  </w:style>
  <w:style w:type="paragraph" w:customStyle="1" w:styleId="Default">
    <w:name w:val="Default"/>
    <w:rsid w:val="007B6F28"/>
    <w:pPr>
      <w:autoSpaceDE w:val="0"/>
      <w:autoSpaceDN w:val="0"/>
      <w:adjustRightInd w:val="0"/>
    </w:pPr>
    <w:rPr>
      <w:rFonts w:ascii="Arial" w:hAnsi="Arial" w:cs="Arial"/>
      <w:color w:val="000000"/>
      <w:lang w:val="en-GB"/>
    </w:rPr>
  </w:style>
  <w:style w:type="character" w:customStyle="1" w:styleId="sfpdf">
    <w:name w:val="sfpdf"/>
    <w:basedOn w:val="DefaultParagraphFont"/>
    <w:rsid w:val="00B05F73"/>
  </w:style>
  <w:style w:type="character" w:customStyle="1" w:styleId="effective">
    <w:name w:val="effective"/>
    <w:basedOn w:val="DefaultParagraphFont"/>
    <w:rsid w:val="00B05F73"/>
  </w:style>
  <w:style w:type="table" w:customStyle="1" w:styleId="DCC">
    <w:name w:val="DCC"/>
    <w:basedOn w:val="TableNormal"/>
    <w:uiPriority w:val="99"/>
    <w:rsid w:val="008C6F7F"/>
    <w:rPr>
      <w:rFonts w:asciiTheme="minorHAnsi" w:hAnsiTheme="minorHAnsi"/>
    </w:rPr>
    <w:tblPr>
      <w:tblStyleRowBandSize w:val="1"/>
    </w:tblPr>
    <w:tblStylePr w:type="firstRow">
      <w:rPr>
        <w:rFonts w:asciiTheme="majorHAnsi" w:hAnsiTheme="majorHAnsi"/>
        <w:b/>
      </w:rPr>
      <w:tblPr/>
      <w:tcPr>
        <w:shd w:val="clear" w:color="auto" w:fill="5C2071" w:themeFill="accent1"/>
      </w:tcPr>
    </w:tblStylePr>
    <w:tblStylePr w:type="band1Horz">
      <w:rPr>
        <w:rFonts w:asciiTheme="minorHAnsi" w:hAnsiTheme="minorHAnsi"/>
        <w:color w:val="auto"/>
      </w:rPr>
    </w:tblStylePr>
  </w:style>
  <w:style w:type="character" w:customStyle="1" w:styleId="UnresolvedMention">
    <w:name w:val="Unresolved Mention"/>
    <w:basedOn w:val="DefaultParagraphFont"/>
    <w:uiPriority w:val="99"/>
    <w:semiHidden/>
    <w:unhideWhenUsed/>
    <w:rsid w:val="00B866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468540">
      <w:bodyDiv w:val="1"/>
      <w:marLeft w:val="0"/>
      <w:marRight w:val="0"/>
      <w:marTop w:val="0"/>
      <w:marBottom w:val="0"/>
      <w:divBdr>
        <w:top w:val="none" w:sz="0" w:space="0" w:color="auto"/>
        <w:left w:val="none" w:sz="0" w:space="0" w:color="auto"/>
        <w:bottom w:val="none" w:sz="0" w:space="0" w:color="auto"/>
        <w:right w:val="none" w:sz="0" w:space="0" w:color="auto"/>
      </w:divBdr>
    </w:div>
    <w:div w:id="127402786">
      <w:bodyDiv w:val="1"/>
      <w:marLeft w:val="0"/>
      <w:marRight w:val="0"/>
      <w:marTop w:val="0"/>
      <w:marBottom w:val="0"/>
      <w:divBdr>
        <w:top w:val="none" w:sz="0" w:space="0" w:color="auto"/>
        <w:left w:val="none" w:sz="0" w:space="0" w:color="auto"/>
        <w:bottom w:val="none" w:sz="0" w:space="0" w:color="auto"/>
        <w:right w:val="none" w:sz="0" w:space="0" w:color="auto"/>
      </w:divBdr>
    </w:div>
    <w:div w:id="155460275">
      <w:bodyDiv w:val="1"/>
      <w:marLeft w:val="0"/>
      <w:marRight w:val="0"/>
      <w:marTop w:val="0"/>
      <w:marBottom w:val="0"/>
      <w:divBdr>
        <w:top w:val="none" w:sz="0" w:space="0" w:color="auto"/>
        <w:left w:val="none" w:sz="0" w:space="0" w:color="auto"/>
        <w:bottom w:val="none" w:sz="0" w:space="0" w:color="auto"/>
        <w:right w:val="none" w:sz="0" w:space="0" w:color="auto"/>
      </w:divBdr>
      <w:divsChild>
        <w:div w:id="874193693">
          <w:marLeft w:val="562"/>
          <w:marRight w:val="0"/>
          <w:marTop w:val="86"/>
          <w:marBottom w:val="0"/>
          <w:divBdr>
            <w:top w:val="none" w:sz="0" w:space="0" w:color="auto"/>
            <w:left w:val="none" w:sz="0" w:space="0" w:color="auto"/>
            <w:bottom w:val="none" w:sz="0" w:space="0" w:color="auto"/>
            <w:right w:val="none" w:sz="0" w:space="0" w:color="auto"/>
          </w:divBdr>
        </w:div>
        <w:div w:id="444274881">
          <w:marLeft w:val="1138"/>
          <w:marRight w:val="0"/>
          <w:marTop w:val="86"/>
          <w:marBottom w:val="0"/>
          <w:divBdr>
            <w:top w:val="none" w:sz="0" w:space="0" w:color="auto"/>
            <w:left w:val="none" w:sz="0" w:space="0" w:color="auto"/>
            <w:bottom w:val="none" w:sz="0" w:space="0" w:color="auto"/>
            <w:right w:val="none" w:sz="0" w:space="0" w:color="auto"/>
          </w:divBdr>
        </w:div>
        <w:div w:id="528447155">
          <w:marLeft w:val="1138"/>
          <w:marRight w:val="0"/>
          <w:marTop w:val="86"/>
          <w:marBottom w:val="0"/>
          <w:divBdr>
            <w:top w:val="none" w:sz="0" w:space="0" w:color="auto"/>
            <w:left w:val="none" w:sz="0" w:space="0" w:color="auto"/>
            <w:bottom w:val="none" w:sz="0" w:space="0" w:color="auto"/>
            <w:right w:val="none" w:sz="0" w:space="0" w:color="auto"/>
          </w:divBdr>
        </w:div>
        <w:div w:id="1869173442">
          <w:marLeft w:val="1138"/>
          <w:marRight w:val="0"/>
          <w:marTop w:val="86"/>
          <w:marBottom w:val="0"/>
          <w:divBdr>
            <w:top w:val="none" w:sz="0" w:space="0" w:color="auto"/>
            <w:left w:val="none" w:sz="0" w:space="0" w:color="auto"/>
            <w:bottom w:val="none" w:sz="0" w:space="0" w:color="auto"/>
            <w:right w:val="none" w:sz="0" w:space="0" w:color="auto"/>
          </w:divBdr>
        </w:div>
        <w:div w:id="1691106565">
          <w:marLeft w:val="562"/>
          <w:marRight w:val="0"/>
          <w:marTop w:val="86"/>
          <w:marBottom w:val="0"/>
          <w:divBdr>
            <w:top w:val="none" w:sz="0" w:space="0" w:color="auto"/>
            <w:left w:val="none" w:sz="0" w:space="0" w:color="auto"/>
            <w:bottom w:val="none" w:sz="0" w:space="0" w:color="auto"/>
            <w:right w:val="none" w:sz="0" w:space="0" w:color="auto"/>
          </w:divBdr>
        </w:div>
      </w:divsChild>
    </w:div>
    <w:div w:id="189731475">
      <w:bodyDiv w:val="1"/>
      <w:marLeft w:val="0"/>
      <w:marRight w:val="0"/>
      <w:marTop w:val="0"/>
      <w:marBottom w:val="0"/>
      <w:divBdr>
        <w:top w:val="none" w:sz="0" w:space="0" w:color="auto"/>
        <w:left w:val="none" w:sz="0" w:space="0" w:color="auto"/>
        <w:bottom w:val="none" w:sz="0" w:space="0" w:color="auto"/>
        <w:right w:val="none" w:sz="0" w:space="0" w:color="auto"/>
      </w:divBdr>
    </w:div>
    <w:div w:id="192112585">
      <w:bodyDiv w:val="1"/>
      <w:marLeft w:val="0"/>
      <w:marRight w:val="0"/>
      <w:marTop w:val="0"/>
      <w:marBottom w:val="0"/>
      <w:divBdr>
        <w:top w:val="none" w:sz="0" w:space="0" w:color="auto"/>
        <w:left w:val="none" w:sz="0" w:space="0" w:color="auto"/>
        <w:bottom w:val="none" w:sz="0" w:space="0" w:color="auto"/>
        <w:right w:val="none" w:sz="0" w:space="0" w:color="auto"/>
      </w:divBdr>
    </w:div>
    <w:div w:id="205681406">
      <w:bodyDiv w:val="1"/>
      <w:marLeft w:val="0"/>
      <w:marRight w:val="0"/>
      <w:marTop w:val="0"/>
      <w:marBottom w:val="0"/>
      <w:divBdr>
        <w:top w:val="none" w:sz="0" w:space="0" w:color="auto"/>
        <w:left w:val="none" w:sz="0" w:space="0" w:color="auto"/>
        <w:bottom w:val="none" w:sz="0" w:space="0" w:color="auto"/>
        <w:right w:val="none" w:sz="0" w:space="0" w:color="auto"/>
      </w:divBdr>
    </w:div>
    <w:div w:id="221866486">
      <w:bodyDiv w:val="1"/>
      <w:marLeft w:val="0"/>
      <w:marRight w:val="0"/>
      <w:marTop w:val="0"/>
      <w:marBottom w:val="0"/>
      <w:divBdr>
        <w:top w:val="none" w:sz="0" w:space="0" w:color="auto"/>
        <w:left w:val="none" w:sz="0" w:space="0" w:color="auto"/>
        <w:bottom w:val="none" w:sz="0" w:space="0" w:color="auto"/>
        <w:right w:val="none" w:sz="0" w:space="0" w:color="auto"/>
      </w:divBdr>
    </w:div>
    <w:div w:id="234171450">
      <w:bodyDiv w:val="1"/>
      <w:marLeft w:val="0"/>
      <w:marRight w:val="0"/>
      <w:marTop w:val="0"/>
      <w:marBottom w:val="0"/>
      <w:divBdr>
        <w:top w:val="none" w:sz="0" w:space="0" w:color="auto"/>
        <w:left w:val="none" w:sz="0" w:space="0" w:color="auto"/>
        <w:bottom w:val="none" w:sz="0" w:space="0" w:color="auto"/>
        <w:right w:val="none" w:sz="0" w:space="0" w:color="auto"/>
      </w:divBdr>
    </w:div>
    <w:div w:id="236864015">
      <w:bodyDiv w:val="1"/>
      <w:marLeft w:val="0"/>
      <w:marRight w:val="0"/>
      <w:marTop w:val="0"/>
      <w:marBottom w:val="0"/>
      <w:divBdr>
        <w:top w:val="none" w:sz="0" w:space="0" w:color="auto"/>
        <w:left w:val="none" w:sz="0" w:space="0" w:color="auto"/>
        <w:bottom w:val="none" w:sz="0" w:space="0" w:color="auto"/>
        <w:right w:val="none" w:sz="0" w:space="0" w:color="auto"/>
      </w:divBdr>
    </w:div>
    <w:div w:id="250168922">
      <w:bodyDiv w:val="1"/>
      <w:marLeft w:val="0"/>
      <w:marRight w:val="0"/>
      <w:marTop w:val="0"/>
      <w:marBottom w:val="0"/>
      <w:divBdr>
        <w:top w:val="none" w:sz="0" w:space="0" w:color="auto"/>
        <w:left w:val="none" w:sz="0" w:space="0" w:color="auto"/>
        <w:bottom w:val="none" w:sz="0" w:space="0" w:color="auto"/>
        <w:right w:val="none" w:sz="0" w:space="0" w:color="auto"/>
      </w:divBdr>
    </w:div>
    <w:div w:id="266428221">
      <w:bodyDiv w:val="1"/>
      <w:marLeft w:val="0"/>
      <w:marRight w:val="0"/>
      <w:marTop w:val="0"/>
      <w:marBottom w:val="0"/>
      <w:divBdr>
        <w:top w:val="none" w:sz="0" w:space="0" w:color="auto"/>
        <w:left w:val="none" w:sz="0" w:space="0" w:color="auto"/>
        <w:bottom w:val="none" w:sz="0" w:space="0" w:color="auto"/>
        <w:right w:val="none" w:sz="0" w:space="0" w:color="auto"/>
      </w:divBdr>
    </w:div>
    <w:div w:id="299456342">
      <w:bodyDiv w:val="1"/>
      <w:marLeft w:val="0"/>
      <w:marRight w:val="0"/>
      <w:marTop w:val="0"/>
      <w:marBottom w:val="0"/>
      <w:divBdr>
        <w:top w:val="none" w:sz="0" w:space="0" w:color="auto"/>
        <w:left w:val="none" w:sz="0" w:space="0" w:color="auto"/>
        <w:bottom w:val="none" w:sz="0" w:space="0" w:color="auto"/>
        <w:right w:val="none" w:sz="0" w:space="0" w:color="auto"/>
      </w:divBdr>
    </w:div>
    <w:div w:id="320160715">
      <w:bodyDiv w:val="1"/>
      <w:marLeft w:val="0"/>
      <w:marRight w:val="0"/>
      <w:marTop w:val="0"/>
      <w:marBottom w:val="0"/>
      <w:divBdr>
        <w:top w:val="none" w:sz="0" w:space="0" w:color="auto"/>
        <w:left w:val="none" w:sz="0" w:space="0" w:color="auto"/>
        <w:bottom w:val="none" w:sz="0" w:space="0" w:color="auto"/>
        <w:right w:val="none" w:sz="0" w:space="0" w:color="auto"/>
      </w:divBdr>
    </w:div>
    <w:div w:id="324821658">
      <w:bodyDiv w:val="1"/>
      <w:marLeft w:val="0"/>
      <w:marRight w:val="0"/>
      <w:marTop w:val="0"/>
      <w:marBottom w:val="0"/>
      <w:divBdr>
        <w:top w:val="none" w:sz="0" w:space="0" w:color="auto"/>
        <w:left w:val="none" w:sz="0" w:space="0" w:color="auto"/>
        <w:bottom w:val="none" w:sz="0" w:space="0" w:color="auto"/>
        <w:right w:val="none" w:sz="0" w:space="0" w:color="auto"/>
      </w:divBdr>
    </w:div>
    <w:div w:id="328335951">
      <w:bodyDiv w:val="1"/>
      <w:marLeft w:val="0"/>
      <w:marRight w:val="0"/>
      <w:marTop w:val="0"/>
      <w:marBottom w:val="0"/>
      <w:divBdr>
        <w:top w:val="none" w:sz="0" w:space="0" w:color="auto"/>
        <w:left w:val="none" w:sz="0" w:space="0" w:color="auto"/>
        <w:bottom w:val="none" w:sz="0" w:space="0" w:color="auto"/>
        <w:right w:val="none" w:sz="0" w:space="0" w:color="auto"/>
      </w:divBdr>
    </w:div>
    <w:div w:id="341443438">
      <w:bodyDiv w:val="1"/>
      <w:marLeft w:val="0"/>
      <w:marRight w:val="0"/>
      <w:marTop w:val="0"/>
      <w:marBottom w:val="0"/>
      <w:divBdr>
        <w:top w:val="none" w:sz="0" w:space="0" w:color="auto"/>
        <w:left w:val="none" w:sz="0" w:space="0" w:color="auto"/>
        <w:bottom w:val="none" w:sz="0" w:space="0" w:color="auto"/>
        <w:right w:val="none" w:sz="0" w:space="0" w:color="auto"/>
      </w:divBdr>
    </w:div>
    <w:div w:id="350879810">
      <w:bodyDiv w:val="1"/>
      <w:marLeft w:val="0"/>
      <w:marRight w:val="0"/>
      <w:marTop w:val="0"/>
      <w:marBottom w:val="0"/>
      <w:divBdr>
        <w:top w:val="none" w:sz="0" w:space="0" w:color="auto"/>
        <w:left w:val="none" w:sz="0" w:space="0" w:color="auto"/>
        <w:bottom w:val="none" w:sz="0" w:space="0" w:color="auto"/>
        <w:right w:val="none" w:sz="0" w:space="0" w:color="auto"/>
      </w:divBdr>
    </w:div>
    <w:div w:id="356927068">
      <w:bodyDiv w:val="1"/>
      <w:marLeft w:val="0"/>
      <w:marRight w:val="0"/>
      <w:marTop w:val="0"/>
      <w:marBottom w:val="0"/>
      <w:divBdr>
        <w:top w:val="none" w:sz="0" w:space="0" w:color="auto"/>
        <w:left w:val="none" w:sz="0" w:space="0" w:color="auto"/>
        <w:bottom w:val="none" w:sz="0" w:space="0" w:color="auto"/>
        <w:right w:val="none" w:sz="0" w:space="0" w:color="auto"/>
      </w:divBdr>
      <w:divsChild>
        <w:div w:id="35858712">
          <w:marLeft w:val="0"/>
          <w:marRight w:val="0"/>
          <w:marTop w:val="0"/>
          <w:marBottom w:val="0"/>
          <w:divBdr>
            <w:top w:val="none" w:sz="0" w:space="0" w:color="auto"/>
            <w:left w:val="none" w:sz="0" w:space="0" w:color="auto"/>
            <w:bottom w:val="none" w:sz="0" w:space="0" w:color="auto"/>
            <w:right w:val="none" w:sz="0" w:space="0" w:color="auto"/>
          </w:divBdr>
          <w:divsChild>
            <w:div w:id="582909794">
              <w:marLeft w:val="0"/>
              <w:marRight w:val="0"/>
              <w:marTop w:val="0"/>
              <w:marBottom w:val="0"/>
              <w:divBdr>
                <w:top w:val="none" w:sz="0" w:space="0" w:color="auto"/>
                <w:left w:val="none" w:sz="0" w:space="0" w:color="auto"/>
                <w:bottom w:val="none" w:sz="0" w:space="0" w:color="auto"/>
                <w:right w:val="none" w:sz="0" w:space="0" w:color="auto"/>
              </w:divBdr>
              <w:divsChild>
                <w:div w:id="1036276566">
                  <w:marLeft w:val="0"/>
                  <w:marRight w:val="0"/>
                  <w:marTop w:val="0"/>
                  <w:marBottom w:val="0"/>
                  <w:divBdr>
                    <w:top w:val="none" w:sz="0" w:space="0" w:color="auto"/>
                    <w:left w:val="none" w:sz="0" w:space="0" w:color="auto"/>
                    <w:bottom w:val="none" w:sz="0" w:space="0" w:color="auto"/>
                    <w:right w:val="none" w:sz="0" w:space="0" w:color="auto"/>
                  </w:divBdr>
                  <w:divsChild>
                    <w:div w:id="1109349030">
                      <w:marLeft w:val="0"/>
                      <w:marRight w:val="0"/>
                      <w:marTop w:val="0"/>
                      <w:marBottom w:val="0"/>
                      <w:divBdr>
                        <w:top w:val="none" w:sz="0" w:space="0" w:color="auto"/>
                        <w:left w:val="none" w:sz="0" w:space="0" w:color="auto"/>
                        <w:bottom w:val="none" w:sz="0" w:space="0" w:color="auto"/>
                        <w:right w:val="none" w:sz="0" w:space="0" w:color="auto"/>
                      </w:divBdr>
                      <w:divsChild>
                        <w:div w:id="105348767">
                          <w:marLeft w:val="0"/>
                          <w:marRight w:val="0"/>
                          <w:marTop w:val="0"/>
                          <w:marBottom w:val="0"/>
                          <w:divBdr>
                            <w:top w:val="none" w:sz="0" w:space="0" w:color="auto"/>
                            <w:left w:val="none" w:sz="0" w:space="0" w:color="auto"/>
                            <w:bottom w:val="none" w:sz="0" w:space="0" w:color="auto"/>
                            <w:right w:val="none" w:sz="0" w:space="0" w:color="auto"/>
                          </w:divBdr>
                          <w:divsChild>
                            <w:div w:id="1100680913">
                              <w:marLeft w:val="0"/>
                              <w:marRight w:val="0"/>
                              <w:marTop w:val="0"/>
                              <w:marBottom w:val="0"/>
                              <w:divBdr>
                                <w:top w:val="none" w:sz="0" w:space="0" w:color="auto"/>
                                <w:left w:val="none" w:sz="0" w:space="0" w:color="auto"/>
                                <w:bottom w:val="none" w:sz="0" w:space="0" w:color="auto"/>
                                <w:right w:val="none" w:sz="0" w:space="0" w:color="auto"/>
                              </w:divBdr>
                              <w:divsChild>
                                <w:div w:id="2140026912">
                                  <w:marLeft w:val="0"/>
                                  <w:marRight w:val="0"/>
                                  <w:marTop w:val="0"/>
                                  <w:marBottom w:val="0"/>
                                  <w:divBdr>
                                    <w:top w:val="none" w:sz="0" w:space="0" w:color="auto"/>
                                    <w:left w:val="none" w:sz="0" w:space="0" w:color="auto"/>
                                    <w:bottom w:val="none" w:sz="0" w:space="0" w:color="auto"/>
                                    <w:right w:val="none" w:sz="0" w:space="0" w:color="auto"/>
                                  </w:divBdr>
                                  <w:divsChild>
                                    <w:div w:id="1235119942">
                                      <w:marLeft w:val="0"/>
                                      <w:marRight w:val="0"/>
                                      <w:marTop w:val="0"/>
                                      <w:marBottom w:val="0"/>
                                      <w:divBdr>
                                        <w:top w:val="none" w:sz="0" w:space="0" w:color="auto"/>
                                        <w:left w:val="none" w:sz="0" w:space="0" w:color="auto"/>
                                        <w:bottom w:val="none" w:sz="0" w:space="0" w:color="auto"/>
                                        <w:right w:val="none" w:sz="0" w:space="0" w:color="auto"/>
                                      </w:divBdr>
                                      <w:divsChild>
                                        <w:div w:id="1780954371">
                                          <w:marLeft w:val="0"/>
                                          <w:marRight w:val="0"/>
                                          <w:marTop w:val="225"/>
                                          <w:marBottom w:val="0"/>
                                          <w:divBdr>
                                            <w:top w:val="none" w:sz="0" w:space="0" w:color="auto"/>
                                            <w:left w:val="none" w:sz="0" w:space="0" w:color="auto"/>
                                            <w:bottom w:val="none" w:sz="0" w:space="0" w:color="auto"/>
                                            <w:right w:val="none" w:sz="0" w:space="0" w:color="auto"/>
                                          </w:divBdr>
                                          <w:divsChild>
                                            <w:div w:id="1361473453">
                                              <w:marLeft w:val="0"/>
                                              <w:marRight w:val="0"/>
                                              <w:marTop w:val="0"/>
                                              <w:marBottom w:val="0"/>
                                              <w:divBdr>
                                                <w:top w:val="none" w:sz="0" w:space="0" w:color="auto"/>
                                                <w:left w:val="none" w:sz="0" w:space="0" w:color="auto"/>
                                                <w:bottom w:val="none" w:sz="0" w:space="0" w:color="auto"/>
                                                <w:right w:val="none" w:sz="0" w:space="0" w:color="auto"/>
                                              </w:divBdr>
                                              <w:divsChild>
                                                <w:div w:id="1019240913">
                                                  <w:marLeft w:val="0"/>
                                                  <w:marRight w:val="0"/>
                                                  <w:marTop w:val="0"/>
                                                  <w:marBottom w:val="75"/>
                                                  <w:divBdr>
                                                    <w:top w:val="none" w:sz="0" w:space="0" w:color="auto"/>
                                                    <w:left w:val="none" w:sz="0" w:space="0" w:color="auto"/>
                                                    <w:bottom w:val="none" w:sz="0" w:space="0" w:color="auto"/>
                                                    <w:right w:val="none" w:sz="0" w:space="0" w:color="auto"/>
                                                  </w:divBdr>
                                                  <w:divsChild>
                                                    <w:div w:id="2006935534">
                                                      <w:marLeft w:val="-225"/>
                                                      <w:marRight w:val="-225"/>
                                                      <w:marTop w:val="0"/>
                                                      <w:marBottom w:val="0"/>
                                                      <w:divBdr>
                                                        <w:top w:val="none" w:sz="0" w:space="0" w:color="auto"/>
                                                        <w:left w:val="none" w:sz="0" w:space="0" w:color="auto"/>
                                                        <w:bottom w:val="none" w:sz="0" w:space="0" w:color="auto"/>
                                                        <w:right w:val="none" w:sz="0" w:space="0" w:color="auto"/>
                                                      </w:divBdr>
                                                      <w:divsChild>
                                                        <w:div w:id="9765271">
                                                          <w:marLeft w:val="0"/>
                                                          <w:marRight w:val="0"/>
                                                          <w:marTop w:val="0"/>
                                                          <w:marBottom w:val="0"/>
                                                          <w:divBdr>
                                                            <w:top w:val="none" w:sz="0" w:space="0" w:color="auto"/>
                                                            <w:left w:val="none" w:sz="0" w:space="0" w:color="auto"/>
                                                            <w:bottom w:val="none" w:sz="0" w:space="0" w:color="auto"/>
                                                            <w:right w:val="none" w:sz="0" w:space="0" w:color="auto"/>
                                                          </w:divBdr>
                                                        </w:div>
                                                        <w:div w:id="948781664">
                                                          <w:marLeft w:val="0"/>
                                                          <w:marRight w:val="0"/>
                                                          <w:marTop w:val="0"/>
                                                          <w:marBottom w:val="0"/>
                                                          <w:divBdr>
                                                            <w:top w:val="none" w:sz="0" w:space="0" w:color="auto"/>
                                                            <w:left w:val="none" w:sz="0" w:space="0" w:color="auto"/>
                                                            <w:bottom w:val="none" w:sz="0" w:space="0" w:color="auto"/>
                                                            <w:right w:val="none" w:sz="0" w:space="0" w:color="auto"/>
                                                          </w:divBdr>
                                                        </w:div>
                                                        <w:div w:id="18648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2402">
                                                  <w:marLeft w:val="0"/>
                                                  <w:marRight w:val="0"/>
                                                  <w:marTop w:val="0"/>
                                                  <w:marBottom w:val="75"/>
                                                  <w:divBdr>
                                                    <w:top w:val="none" w:sz="0" w:space="0" w:color="auto"/>
                                                    <w:left w:val="none" w:sz="0" w:space="0" w:color="auto"/>
                                                    <w:bottom w:val="none" w:sz="0" w:space="0" w:color="auto"/>
                                                    <w:right w:val="none" w:sz="0" w:space="0" w:color="auto"/>
                                                  </w:divBdr>
                                                  <w:divsChild>
                                                    <w:div w:id="1095327103">
                                                      <w:marLeft w:val="-225"/>
                                                      <w:marRight w:val="-225"/>
                                                      <w:marTop w:val="0"/>
                                                      <w:marBottom w:val="0"/>
                                                      <w:divBdr>
                                                        <w:top w:val="none" w:sz="0" w:space="0" w:color="auto"/>
                                                        <w:left w:val="none" w:sz="0" w:space="0" w:color="auto"/>
                                                        <w:bottom w:val="none" w:sz="0" w:space="0" w:color="auto"/>
                                                        <w:right w:val="none" w:sz="0" w:space="0" w:color="auto"/>
                                                      </w:divBdr>
                                                      <w:divsChild>
                                                        <w:div w:id="114461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57843616">
      <w:bodyDiv w:val="1"/>
      <w:marLeft w:val="0"/>
      <w:marRight w:val="0"/>
      <w:marTop w:val="0"/>
      <w:marBottom w:val="0"/>
      <w:divBdr>
        <w:top w:val="none" w:sz="0" w:space="0" w:color="auto"/>
        <w:left w:val="none" w:sz="0" w:space="0" w:color="auto"/>
        <w:bottom w:val="none" w:sz="0" w:space="0" w:color="auto"/>
        <w:right w:val="none" w:sz="0" w:space="0" w:color="auto"/>
      </w:divBdr>
    </w:div>
    <w:div w:id="528489948">
      <w:bodyDiv w:val="1"/>
      <w:marLeft w:val="0"/>
      <w:marRight w:val="0"/>
      <w:marTop w:val="0"/>
      <w:marBottom w:val="0"/>
      <w:divBdr>
        <w:top w:val="none" w:sz="0" w:space="0" w:color="auto"/>
        <w:left w:val="none" w:sz="0" w:space="0" w:color="auto"/>
        <w:bottom w:val="none" w:sz="0" w:space="0" w:color="auto"/>
        <w:right w:val="none" w:sz="0" w:space="0" w:color="auto"/>
      </w:divBdr>
    </w:div>
    <w:div w:id="552080159">
      <w:bodyDiv w:val="1"/>
      <w:marLeft w:val="0"/>
      <w:marRight w:val="0"/>
      <w:marTop w:val="0"/>
      <w:marBottom w:val="0"/>
      <w:divBdr>
        <w:top w:val="none" w:sz="0" w:space="0" w:color="auto"/>
        <w:left w:val="none" w:sz="0" w:space="0" w:color="auto"/>
        <w:bottom w:val="none" w:sz="0" w:space="0" w:color="auto"/>
        <w:right w:val="none" w:sz="0" w:space="0" w:color="auto"/>
      </w:divBdr>
    </w:div>
    <w:div w:id="577180574">
      <w:bodyDiv w:val="1"/>
      <w:marLeft w:val="0"/>
      <w:marRight w:val="0"/>
      <w:marTop w:val="0"/>
      <w:marBottom w:val="0"/>
      <w:divBdr>
        <w:top w:val="none" w:sz="0" w:space="0" w:color="auto"/>
        <w:left w:val="none" w:sz="0" w:space="0" w:color="auto"/>
        <w:bottom w:val="none" w:sz="0" w:space="0" w:color="auto"/>
        <w:right w:val="none" w:sz="0" w:space="0" w:color="auto"/>
      </w:divBdr>
    </w:div>
    <w:div w:id="578443094">
      <w:bodyDiv w:val="1"/>
      <w:marLeft w:val="0"/>
      <w:marRight w:val="0"/>
      <w:marTop w:val="0"/>
      <w:marBottom w:val="0"/>
      <w:divBdr>
        <w:top w:val="none" w:sz="0" w:space="0" w:color="auto"/>
        <w:left w:val="none" w:sz="0" w:space="0" w:color="auto"/>
        <w:bottom w:val="none" w:sz="0" w:space="0" w:color="auto"/>
        <w:right w:val="none" w:sz="0" w:space="0" w:color="auto"/>
      </w:divBdr>
    </w:div>
    <w:div w:id="610863033">
      <w:bodyDiv w:val="1"/>
      <w:marLeft w:val="0"/>
      <w:marRight w:val="0"/>
      <w:marTop w:val="0"/>
      <w:marBottom w:val="0"/>
      <w:divBdr>
        <w:top w:val="none" w:sz="0" w:space="0" w:color="auto"/>
        <w:left w:val="none" w:sz="0" w:space="0" w:color="auto"/>
        <w:bottom w:val="none" w:sz="0" w:space="0" w:color="auto"/>
        <w:right w:val="none" w:sz="0" w:space="0" w:color="auto"/>
      </w:divBdr>
    </w:div>
    <w:div w:id="737094256">
      <w:bodyDiv w:val="1"/>
      <w:marLeft w:val="0"/>
      <w:marRight w:val="0"/>
      <w:marTop w:val="0"/>
      <w:marBottom w:val="0"/>
      <w:divBdr>
        <w:top w:val="none" w:sz="0" w:space="0" w:color="auto"/>
        <w:left w:val="none" w:sz="0" w:space="0" w:color="auto"/>
        <w:bottom w:val="none" w:sz="0" w:space="0" w:color="auto"/>
        <w:right w:val="none" w:sz="0" w:space="0" w:color="auto"/>
      </w:divBdr>
    </w:div>
    <w:div w:id="743063537">
      <w:bodyDiv w:val="1"/>
      <w:marLeft w:val="0"/>
      <w:marRight w:val="0"/>
      <w:marTop w:val="0"/>
      <w:marBottom w:val="0"/>
      <w:divBdr>
        <w:top w:val="none" w:sz="0" w:space="0" w:color="auto"/>
        <w:left w:val="none" w:sz="0" w:space="0" w:color="auto"/>
        <w:bottom w:val="none" w:sz="0" w:space="0" w:color="auto"/>
        <w:right w:val="none" w:sz="0" w:space="0" w:color="auto"/>
      </w:divBdr>
    </w:div>
    <w:div w:id="752436873">
      <w:bodyDiv w:val="1"/>
      <w:marLeft w:val="0"/>
      <w:marRight w:val="0"/>
      <w:marTop w:val="0"/>
      <w:marBottom w:val="0"/>
      <w:divBdr>
        <w:top w:val="none" w:sz="0" w:space="0" w:color="auto"/>
        <w:left w:val="none" w:sz="0" w:space="0" w:color="auto"/>
        <w:bottom w:val="none" w:sz="0" w:space="0" w:color="auto"/>
        <w:right w:val="none" w:sz="0" w:space="0" w:color="auto"/>
      </w:divBdr>
      <w:divsChild>
        <w:div w:id="615646293">
          <w:marLeft w:val="547"/>
          <w:marRight w:val="0"/>
          <w:marTop w:val="91"/>
          <w:marBottom w:val="0"/>
          <w:divBdr>
            <w:top w:val="none" w:sz="0" w:space="0" w:color="auto"/>
            <w:left w:val="none" w:sz="0" w:space="0" w:color="auto"/>
            <w:bottom w:val="none" w:sz="0" w:space="0" w:color="auto"/>
            <w:right w:val="none" w:sz="0" w:space="0" w:color="auto"/>
          </w:divBdr>
        </w:div>
      </w:divsChild>
    </w:div>
    <w:div w:id="754789407">
      <w:bodyDiv w:val="1"/>
      <w:marLeft w:val="0"/>
      <w:marRight w:val="0"/>
      <w:marTop w:val="0"/>
      <w:marBottom w:val="0"/>
      <w:divBdr>
        <w:top w:val="none" w:sz="0" w:space="0" w:color="auto"/>
        <w:left w:val="none" w:sz="0" w:space="0" w:color="auto"/>
        <w:bottom w:val="none" w:sz="0" w:space="0" w:color="auto"/>
        <w:right w:val="none" w:sz="0" w:space="0" w:color="auto"/>
      </w:divBdr>
    </w:div>
    <w:div w:id="780228071">
      <w:bodyDiv w:val="1"/>
      <w:marLeft w:val="0"/>
      <w:marRight w:val="0"/>
      <w:marTop w:val="0"/>
      <w:marBottom w:val="0"/>
      <w:divBdr>
        <w:top w:val="none" w:sz="0" w:space="0" w:color="auto"/>
        <w:left w:val="none" w:sz="0" w:space="0" w:color="auto"/>
        <w:bottom w:val="none" w:sz="0" w:space="0" w:color="auto"/>
        <w:right w:val="none" w:sz="0" w:space="0" w:color="auto"/>
      </w:divBdr>
    </w:div>
    <w:div w:id="786855177">
      <w:bodyDiv w:val="1"/>
      <w:marLeft w:val="0"/>
      <w:marRight w:val="0"/>
      <w:marTop w:val="0"/>
      <w:marBottom w:val="0"/>
      <w:divBdr>
        <w:top w:val="none" w:sz="0" w:space="0" w:color="auto"/>
        <w:left w:val="none" w:sz="0" w:space="0" w:color="auto"/>
        <w:bottom w:val="none" w:sz="0" w:space="0" w:color="auto"/>
        <w:right w:val="none" w:sz="0" w:space="0" w:color="auto"/>
      </w:divBdr>
    </w:div>
    <w:div w:id="945380442">
      <w:bodyDiv w:val="1"/>
      <w:marLeft w:val="0"/>
      <w:marRight w:val="0"/>
      <w:marTop w:val="0"/>
      <w:marBottom w:val="0"/>
      <w:divBdr>
        <w:top w:val="none" w:sz="0" w:space="0" w:color="auto"/>
        <w:left w:val="none" w:sz="0" w:space="0" w:color="auto"/>
        <w:bottom w:val="none" w:sz="0" w:space="0" w:color="auto"/>
        <w:right w:val="none" w:sz="0" w:space="0" w:color="auto"/>
      </w:divBdr>
    </w:div>
    <w:div w:id="947664827">
      <w:bodyDiv w:val="1"/>
      <w:marLeft w:val="0"/>
      <w:marRight w:val="0"/>
      <w:marTop w:val="0"/>
      <w:marBottom w:val="0"/>
      <w:divBdr>
        <w:top w:val="none" w:sz="0" w:space="0" w:color="auto"/>
        <w:left w:val="none" w:sz="0" w:space="0" w:color="auto"/>
        <w:bottom w:val="none" w:sz="0" w:space="0" w:color="auto"/>
        <w:right w:val="none" w:sz="0" w:space="0" w:color="auto"/>
      </w:divBdr>
    </w:div>
    <w:div w:id="948392590">
      <w:bodyDiv w:val="1"/>
      <w:marLeft w:val="0"/>
      <w:marRight w:val="0"/>
      <w:marTop w:val="0"/>
      <w:marBottom w:val="0"/>
      <w:divBdr>
        <w:top w:val="none" w:sz="0" w:space="0" w:color="auto"/>
        <w:left w:val="none" w:sz="0" w:space="0" w:color="auto"/>
        <w:bottom w:val="none" w:sz="0" w:space="0" w:color="auto"/>
        <w:right w:val="none" w:sz="0" w:space="0" w:color="auto"/>
      </w:divBdr>
    </w:div>
    <w:div w:id="965476505">
      <w:bodyDiv w:val="1"/>
      <w:marLeft w:val="0"/>
      <w:marRight w:val="0"/>
      <w:marTop w:val="0"/>
      <w:marBottom w:val="0"/>
      <w:divBdr>
        <w:top w:val="none" w:sz="0" w:space="0" w:color="auto"/>
        <w:left w:val="none" w:sz="0" w:space="0" w:color="auto"/>
        <w:bottom w:val="none" w:sz="0" w:space="0" w:color="auto"/>
        <w:right w:val="none" w:sz="0" w:space="0" w:color="auto"/>
      </w:divBdr>
    </w:div>
    <w:div w:id="989600461">
      <w:bodyDiv w:val="1"/>
      <w:marLeft w:val="0"/>
      <w:marRight w:val="0"/>
      <w:marTop w:val="0"/>
      <w:marBottom w:val="0"/>
      <w:divBdr>
        <w:top w:val="none" w:sz="0" w:space="0" w:color="auto"/>
        <w:left w:val="none" w:sz="0" w:space="0" w:color="auto"/>
        <w:bottom w:val="none" w:sz="0" w:space="0" w:color="auto"/>
        <w:right w:val="none" w:sz="0" w:space="0" w:color="auto"/>
      </w:divBdr>
    </w:div>
    <w:div w:id="1020165167">
      <w:bodyDiv w:val="1"/>
      <w:marLeft w:val="0"/>
      <w:marRight w:val="0"/>
      <w:marTop w:val="0"/>
      <w:marBottom w:val="0"/>
      <w:divBdr>
        <w:top w:val="none" w:sz="0" w:space="0" w:color="auto"/>
        <w:left w:val="none" w:sz="0" w:space="0" w:color="auto"/>
        <w:bottom w:val="none" w:sz="0" w:space="0" w:color="auto"/>
        <w:right w:val="none" w:sz="0" w:space="0" w:color="auto"/>
      </w:divBdr>
    </w:div>
    <w:div w:id="1024358442">
      <w:bodyDiv w:val="1"/>
      <w:marLeft w:val="0"/>
      <w:marRight w:val="0"/>
      <w:marTop w:val="0"/>
      <w:marBottom w:val="0"/>
      <w:divBdr>
        <w:top w:val="none" w:sz="0" w:space="0" w:color="auto"/>
        <w:left w:val="none" w:sz="0" w:space="0" w:color="auto"/>
        <w:bottom w:val="none" w:sz="0" w:space="0" w:color="auto"/>
        <w:right w:val="none" w:sz="0" w:space="0" w:color="auto"/>
      </w:divBdr>
    </w:div>
    <w:div w:id="1118059920">
      <w:bodyDiv w:val="1"/>
      <w:marLeft w:val="0"/>
      <w:marRight w:val="0"/>
      <w:marTop w:val="0"/>
      <w:marBottom w:val="0"/>
      <w:divBdr>
        <w:top w:val="none" w:sz="0" w:space="0" w:color="auto"/>
        <w:left w:val="none" w:sz="0" w:space="0" w:color="auto"/>
        <w:bottom w:val="none" w:sz="0" w:space="0" w:color="auto"/>
        <w:right w:val="none" w:sz="0" w:space="0" w:color="auto"/>
      </w:divBdr>
    </w:div>
    <w:div w:id="1118060765">
      <w:bodyDiv w:val="1"/>
      <w:marLeft w:val="0"/>
      <w:marRight w:val="0"/>
      <w:marTop w:val="0"/>
      <w:marBottom w:val="0"/>
      <w:divBdr>
        <w:top w:val="none" w:sz="0" w:space="0" w:color="auto"/>
        <w:left w:val="none" w:sz="0" w:space="0" w:color="auto"/>
        <w:bottom w:val="none" w:sz="0" w:space="0" w:color="auto"/>
        <w:right w:val="none" w:sz="0" w:space="0" w:color="auto"/>
      </w:divBdr>
    </w:div>
    <w:div w:id="1150486867">
      <w:bodyDiv w:val="1"/>
      <w:marLeft w:val="0"/>
      <w:marRight w:val="0"/>
      <w:marTop w:val="0"/>
      <w:marBottom w:val="0"/>
      <w:divBdr>
        <w:top w:val="none" w:sz="0" w:space="0" w:color="auto"/>
        <w:left w:val="none" w:sz="0" w:space="0" w:color="auto"/>
        <w:bottom w:val="none" w:sz="0" w:space="0" w:color="auto"/>
        <w:right w:val="none" w:sz="0" w:space="0" w:color="auto"/>
      </w:divBdr>
    </w:div>
    <w:div w:id="1179351521">
      <w:bodyDiv w:val="1"/>
      <w:marLeft w:val="0"/>
      <w:marRight w:val="0"/>
      <w:marTop w:val="0"/>
      <w:marBottom w:val="0"/>
      <w:divBdr>
        <w:top w:val="none" w:sz="0" w:space="0" w:color="auto"/>
        <w:left w:val="none" w:sz="0" w:space="0" w:color="auto"/>
        <w:bottom w:val="none" w:sz="0" w:space="0" w:color="auto"/>
        <w:right w:val="none" w:sz="0" w:space="0" w:color="auto"/>
      </w:divBdr>
    </w:div>
    <w:div w:id="1196312363">
      <w:bodyDiv w:val="1"/>
      <w:marLeft w:val="0"/>
      <w:marRight w:val="0"/>
      <w:marTop w:val="0"/>
      <w:marBottom w:val="0"/>
      <w:divBdr>
        <w:top w:val="none" w:sz="0" w:space="0" w:color="auto"/>
        <w:left w:val="none" w:sz="0" w:space="0" w:color="auto"/>
        <w:bottom w:val="none" w:sz="0" w:space="0" w:color="auto"/>
        <w:right w:val="none" w:sz="0" w:space="0" w:color="auto"/>
      </w:divBdr>
    </w:div>
    <w:div w:id="1199705781">
      <w:bodyDiv w:val="1"/>
      <w:marLeft w:val="0"/>
      <w:marRight w:val="0"/>
      <w:marTop w:val="0"/>
      <w:marBottom w:val="0"/>
      <w:divBdr>
        <w:top w:val="none" w:sz="0" w:space="0" w:color="auto"/>
        <w:left w:val="none" w:sz="0" w:space="0" w:color="auto"/>
        <w:bottom w:val="none" w:sz="0" w:space="0" w:color="auto"/>
        <w:right w:val="none" w:sz="0" w:space="0" w:color="auto"/>
      </w:divBdr>
    </w:div>
    <w:div w:id="1226334488">
      <w:bodyDiv w:val="1"/>
      <w:marLeft w:val="0"/>
      <w:marRight w:val="0"/>
      <w:marTop w:val="0"/>
      <w:marBottom w:val="0"/>
      <w:divBdr>
        <w:top w:val="none" w:sz="0" w:space="0" w:color="auto"/>
        <w:left w:val="none" w:sz="0" w:space="0" w:color="auto"/>
        <w:bottom w:val="none" w:sz="0" w:space="0" w:color="auto"/>
        <w:right w:val="none" w:sz="0" w:space="0" w:color="auto"/>
      </w:divBdr>
    </w:div>
    <w:div w:id="1267540089">
      <w:bodyDiv w:val="1"/>
      <w:marLeft w:val="0"/>
      <w:marRight w:val="0"/>
      <w:marTop w:val="0"/>
      <w:marBottom w:val="0"/>
      <w:divBdr>
        <w:top w:val="none" w:sz="0" w:space="0" w:color="auto"/>
        <w:left w:val="none" w:sz="0" w:space="0" w:color="auto"/>
        <w:bottom w:val="none" w:sz="0" w:space="0" w:color="auto"/>
        <w:right w:val="none" w:sz="0" w:space="0" w:color="auto"/>
      </w:divBdr>
    </w:div>
    <w:div w:id="1277523240">
      <w:bodyDiv w:val="1"/>
      <w:marLeft w:val="0"/>
      <w:marRight w:val="0"/>
      <w:marTop w:val="0"/>
      <w:marBottom w:val="0"/>
      <w:divBdr>
        <w:top w:val="none" w:sz="0" w:space="0" w:color="auto"/>
        <w:left w:val="none" w:sz="0" w:space="0" w:color="auto"/>
        <w:bottom w:val="none" w:sz="0" w:space="0" w:color="auto"/>
        <w:right w:val="none" w:sz="0" w:space="0" w:color="auto"/>
      </w:divBdr>
    </w:div>
    <w:div w:id="1344699669">
      <w:bodyDiv w:val="1"/>
      <w:marLeft w:val="0"/>
      <w:marRight w:val="0"/>
      <w:marTop w:val="0"/>
      <w:marBottom w:val="0"/>
      <w:divBdr>
        <w:top w:val="none" w:sz="0" w:space="0" w:color="auto"/>
        <w:left w:val="none" w:sz="0" w:space="0" w:color="auto"/>
        <w:bottom w:val="none" w:sz="0" w:space="0" w:color="auto"/>
        <w:right w:val="none" w:sz="0" w:space="0" w:color="auto"/>
      </w:divBdr>
    </w:div>
    <w:div w:id="1391417581">
      <w:bodyDiv w:val="1"/>
      <w:marLeft w:val="0"/>
      <w:marRight w:val="0"/>
      <w:marTop w:val="0"/>
      <w:marBottom w:val="0"/>
      <w:divBdr>
        <w:top w:val="none" w:sz="0" w:space="0" w:color="auto"/>
        <w:left w:val="none" w:sz="0" w:space="0" w:color="auto"/>
        <w:bottom w:val="none" w:sz="0" w:space="0" w:color="auto"/>
        <w:right w:val="none" w:sz="0" w:space="0" w:color="auto"/>
      </w:divBdr>
    </w:div>
    <w:div w:id="1412855159">
      <w:bodyDiv w:val="1"/>
      <w:marLeft w:val="0"/>
      <w:marRight w:val="0"/>
      <w:marTop w:val="0"/>
      <w:marBottom w:val="0"/>
      <w:divBdr>
        <w:top w:val="none" w:sz="0" w:space="0" w:color="auto"/>
        <w:left w:val="none" w:sz="0" w:space="0" w:color="auto"/>
        <w:bottom w:val="none" w:sz="0" w:space="0" w:color="auto"/>
        <w:right w:val="none" w:sz="0" w:space="0" w:color="auto"/>
      </w:divBdr>
    </w:div>
    <w:div w:id="1448963385">
      <w:bodyDiv w:val="1"/>
      <w:marLeft w:val="0"/>
      <w:marRight w:val="0"/>
      <w:marTop w:val="0"/>
      <w:marBottom w:val="0"/>
      <w:divBdr>
        <w:top w:val="none" w:sz="0" w:space="0" w:color="auto"/>
        <w:left w:val="none" w:sz="0" w:space="0" w:color="auto"/>
        <w:bottom w:val="none" w:sz="0" w:space="0" w:color="auto"/>
        <w:right w:val="none" w:sz="0" w:space="0" w:color="auto"/>
      </w:divBdr>
    </w:div>
    <w:div w:id="1464344994">
      <w:bodyDiv w:val="1"/>
      <w:marLeft w:val="0"/>
      <w:marRight w:val="0"/>
      <w:marTop w:val="0"/>
      <w:marBottom w:val="0"/>
      <w:divBdr>
        <w:top w:val="none" w:sz="0" w:space="0" w:color="auto"/>
        <w:left w:val="none" w:sz="0" w:space="0" w:color="auto"/>
        <w:bottom w:val="none" w:sz="0" w:space="0" w:color="auto"/>
        <w:right w:val="none" w:sz="0" w:space="0" w:color="auto"/>
      </w:divBdr>
    </w:div>
    <w:div w:id="1477335597">
      <w:bodyDiv w:val="1"/>
      <w:marLeft w:val="0"/>
      <w:marRight w:val="0"/>
      <w:marTop w:val="0"/>
      <w:marBottom w:val="0"/>
      <w:divBdr>
        <w:top w:val="none" w:sz="0" w:space="0" w:color="auto"/>
        <w:left w:val="none" w:sz="0" w:space="0" w:color="auto"/>
        <w:bottom w:val="none" w:sz="0" w:space="0" w:color="auto"/>
        <w:right w:val="none" w:sz="0" w:space="0" w:color="auto"/>
      </w:divBdr>
    </w:div>
    <w:div w:id="1485045790">
      <w:bodyDiv w:val="1"/>
      <w:marLeft w:val="0"/>
      <w:marRight w:val="0"/>
      <w:marTop w:val="0"/>
      <w:marBottom w:val="0"/>
      <w:divBdr>
        <w:top w:val="none" w:sz="0" w:space="0" w:color="auto"/>
        <w:left w:val="none" w:sz="0" w:space="0" w:color="auto"/>
        <w:bottom w:val="none" w:sz="0" w:space="0" w:color="auto"/>
        <w:right w:val="none" w:sz="0" w:space="0" w:color="auto"/>
      </w:divBdr>
    </w:div>
    <w:div w:id="1505632736">
      <w:bodyDiv w:val="1"/>
      <w:marLeft w:val="0"/>
      <w:marRight w:val="0"/>
      <w:marTop w:val="0"/>
      <w:marBottom w:val="0"/>
      <w:divBdr>
        <w:top w:val="none" w:sz="0" w:space="0" w:color="auto"/>
        <w:left w:val="none" w:sz="0" w:space="0" w:color="auto"/>
        <w:bottom w:val="none" w:sz="0" w:space="0" w:color="auto"/>
        <w:right w:val="none" w:sz="0" w:space="0" w:color="auto"/>
      </w:divBdr>
    </w:div>
    <w:div w:id="1611157804">
      <w:bodyDiv w:val="1"/>
      <w:marLeft w:val="0"/>
      <w:marRight w:val="0"/>
      <w:marTop w:val="0"/>
      <w:marBottom w:val="0"/>
      <w:divBdr>
        <w:top w:val="none" w:sz="0" w:space="0" w:color="auto"/>
        <w:left w:val="none" w:sz="0" w:space="0" w:color="auto"/>
        <w:bottom w:val="none" w:sz="0" w:space="0" w:color="auto"/>
        <w:right w:val="none" w:sz="0" w:space="0" w:color="auto"/>
      </w:divBdr>
    </w:div>
    <w:div w:id="1615164472">
      <w:bodyDiv w:val="1"/>
      <w:marLeft w:val="0"/>
      <w:marRight w:val="0"/>
      <w:marTop w:val="0"/>
      <w:marBottom w:val="0"/>
      <w:divBdr>
        <w:top w:val="none" w:sz="0" w:space="0" w:color="auto"/>
        <w:left w:val="none" w:sz="0" w:space="0" w:color="auto"/>
        <w:bottom w:val="none" w:sz="0" w:space="0" w:color="auto"/>
        <w:right w:val="none" w:sz="0" w:space="0" w:color="auto"/>
      </w:divBdr>
    </w:div>
    <w:div w:id="1671443978">
      <w:bodyDiv w:val="1"/>
      <w:marLeft w:val="0"/>
      <w:marRight w:val="0"/>
      <w:marTop w:val="0"/>
      <w:marBottom w:val="0"/>
      <w:divBdr>
        <w:top w:val="none" w:sz="0" w:space="0" w:color="auto"/>
        <w:left w:val="none" w:sz="0" w:space="0" w:color="auto"/>
        <w:bottom w:val="none" w:sz="0" w:space="0" w:color="auto"/>
        <w:right w:val="none" w:sz="0" w:space="0" w:color="auto"/>
      </w:divBdr>
    </w:div>
    <w:div w:id="1692029792">
      <w:bodyDiv w:val="1"/>
      <w:marLeft w:val="0"/>
      <w:marRight w:val="0"/>
      <w:marTop w:val="0"/>
      <w:marBottom w:val="0"/>
      <w:divBdr>
        <w:top w:val="none" w:sz="0" w:space="0" w:color="auto"/>
        <w:left w:val="none" w:sz="0" w:space="0" w:color="auto"/>
        <w:bottom w:val="none" w:sz="0" w:space="0" w:color="auto"/>
        <w:right w:val="none" w:sz="0" w:space="0" w:color="auto"/>
      </w:divBdr>
    </w:div>
    <w:div w:id="1836145109">
      <w:bodyDiv w:val="1"/>
      <w:marLeft w:val="0"/>
      <w:marRight w:val="0"/>
      <w:marTop w:val="0"/>
      <w:marBottom w:val="0"/>
      <w:divBdr>
        <w:top w:val="none" w:sz="0" w:space="0" w:color="auto"/>
        <w:left w:val="none" w:sz="0" w:space="0" w:color="auto"/>
        <w:bottom w:val="none" w:sz="0" w:space="0" w:color="auto"/>
        <w:right w:val="none" w:sz="0" w:space="0" w:color="auto"/>
      </w:divBdr>
    </w:div>
    <w:div w:id="1864856072">
      <w:bodyDiv w:val="1"/>
      <w:marLeft w:val="0"/>
      <w:marRight w:val="0"/>
      <w:marTop w:val="0"/>
      <w:marBottom w:val="0"/>
      <w:divBdr>
        <w:top w:val="none" w:sz="0" w:space="0" w:color="auto"/>
        <w:left w:val="none" w:sz="0" w:space="0" w:color="auto"/>
        <w:bottom w:val="none" w:sz="0" w:space="0" w:color="auto"/>
        <w:right w:val="none" w:sz="0" w:space="0" w:color="auto"/>
      </w:divBdr>
    </w:div>
    <w:div w:id="1871843679">
      <w:bodyDiv w:val="1"/>
      <w:marLeft w:val="0"/>
      <w:marRight w:val="0"/>
      <w:marTop w:val="0"/>
      <w:marBottom w:val="0"/>
      <w:divBdr>
        <w:top w:val="none" w:sz="0" w:space="0" w:color="auto"/>
        <w:left w:val="none" w:sz="0" w:space="0" w:color="auto"/>
        <w:bottom w:val="none" w:sz="0" w:space="0" w:color="auto"/>
        <w:right w:val="none" w:sz="0" w:space="0" w:color="auto"/>
      </w:divBdr>
    </w:div>
    <w:div w:id="1882396509">
      <w:bodyDiv w:val="1"/>
      <w:marLeft w:val="0"/>
      <w:marRight w:val="0"/>
      <w:marTop w:val="0"/>
      <w:marBottom w:val="0"/>
      <w:divBdr>
        <w:top w:val="none" w:sz="0" w:space="0" w:color="auto"/>
        <w:left w:val="none" w:sz="0" w:space="0" w:color="auto"/>
        <w:bottom w:val="none" w:sz="0" w:space="0" w:color="auto"/>
        <w:right w:val="none" w:sz="0" w:space="0" w:color="auto"/>
      </w:divBdr>
    </w:div>
    <w:div w:id="1904414598">
      <w:bodyDiv w:val="1"/>
      <w:marLeft w:val="0"/>
      <w:marRight w:val="0"/>
      <w:marTop w:val="0"/>
      <w:marBottom w:val="0"/>
      <w:divBdr>
        <w:top w:val="none" w:sz="0" w:space="0" w:color="auto"/>
        <w:left w:val="none" w:sz="0" w:space="0" w:color="auto"/>
        <w:bottom w:val="none" w:sz="0" w:space="0" w:color="auto"/>
        <w:right w:val="none" w:sz="0" w:space="0" w:color="auto"/>
      </w:divBdr>
      <w:divsChild>
        <w:div w:id="692733943">
          <w:marLeft w:val="0"/>
          <w:marRight w:val="0"/>
          <w:marTop w:val="0"/>
          <w:marBottom w:val="0"/>
          <w:divBdr>
            <w:top w:val="none" w:sz="0" w:space="0" w:color="auto"/>
            <w:left w:val="none" w:sz="0" w:space="0" w:color="auto"/>
            <w:bottom w:val="none" w:sz="0" w:space="0" w:color="auto"/>
            <w:right w:val="none" w:sz="0" w:space="0" w:color="auto"/>
          </w:divBdr>
          <w:divsChild>
            <w:div w:id="1668053041">
              <w:marLeft w:val="0"/>
              <w:marRight w:val="0"/>
              <w:marTop w:val="0"/>
              <w:marBottom w:val="0"/>
              <w:divBdr>
                <w:top w:val="none" w:sz="0" w:space="0" w:color="auto"/>
                <w:left w:val="none" w:sz="0" w:space="0" w:color="auto"/>
                <w:bottom w:val="none" w:sz="0" w:space="0" w:color="auto"/>
                <w:right w:val="none" w:sz="0" w:space="0" w:color="auto"/>
              </w:divBdr>
              <w:divsChild>
                <w:div w:id="1479496442">
                  <w:marLeft w:val="0"/>
                  <w:marRight w:val="0"/>
                  <w:marTop w:val="0"/>
                  <w:marBottom w:val="0"/>
                  <w:divBdr>
                    <w:top w:val="none" w:sz="0" w:space="0" w:color="auto"/>
                    <w:left w:val="none" w:sz="0" w:space="0" w:color="auto"/>
                    <w:bottom w:val="none" w:sz="0" w:space="0" w:color="auto"/>
                    <w:right w:val="none" w:sz="0" w:space="0" w:color="auto"/>
                  </w:divBdr>
                  <w:divsChild>
                    <w:div w:id="1893152741">
                      <w:marLeft w:val="0"/>
                      <w:marRight w:val="0"/>
                      <w:marTop w:val="0"/>
                      <w:marBottom w:val="0"/>
                      <w:divBdr>
                        <w:top w:val="none" w:sz="0" w:space="0" w:color="auto"/>
                        <w:left w:val="none" w:sz="0" w:space="0" w:color="auto"/>
                        <w:bottom w:val="none" w:sz="0" w:space="0" w:color="auto"/>
                        <w:right w:val="none" w:sz="0" w:space="0" w:color="auto"/>
                      </w:divBdr>
                      <w:divsChild>
                        <w:div w:id="1641812229">
                          <w:marLeft w:val="0"/>
                          <w:marRight w:val="0"/>
                          <w:marTop w:val="0"/>
                          <w:marBottom w:val="0"/>
                          <w:divBdr>
                            <w:top w:val="none" w:sz="0" w:space="0" w:color="auto"/>
                            <w:left w:val="none" w:sz="0" w:space="0" w:color="auto"/>
                            <w:bottom w:val="none" w:sz="0" w:space="0" w:color="auto"/>
                            <w:right w:val="none" w:sz="0" w:space="0" w:color="auto"/>
                          </w:divBdr>
                          <w:divsChild>
                            <w:div w:id="275867508">
                              <w:marLeft w:val="0"/>
                              <w:marRight w:val="0"/>
                              <w:marTop w:val="0"/>
                              <w:marBottom w:val="0"/>
                              <w:divBdr>
                                <w:top w:val="none" w:sz="0" w:space="0" w:color="auto"/>
                                <w:left w:val="none" w:sz="0" w:space="0" w:color="auto"/>
                                <w:bottom w:val="none" w:sz="0" w:space="0" w:color="auto"/>
                                <w:right w:val="none" w:sz="0" w:space="0" w:color="auto"/>
                              </w:divBdr>
                              <w:divsChild>
                                <w:div w:id="1272280316">
                                  <w:marLeft w:val="0"/>
                                  <w:marRight w:val="0"/>
                                  <w:marTop w:val="0"/>
                                  <w:marBottom w:val="0"/>
                                  <w:divBdr>
                                    <w:top w:val="none" w:sz="0" w:space="0" w:color="auto"/>
                                    <w:left w:val="none" w:sz="0" w:space="0" w:color="auto"/>
                                    <w:bottom w:val="none" w:sz="0" w:space="0" w:color="auto"/>
                                    <w:right w:val="none" w:sz="0" w:space="0" w:color="auto"/>
                                  </w:divBdr>
                                  <w:divsChild>
                                    <w:div w:id="767887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5332883">
      <w:bodyDiv w:val="1"/>
      <w:marLeft w:val="0"/>
      <w:marRight w:val="0"/>
      <w:marTop w:val="0"/>
      <w:marBottom w:val="0"/>
      <w:divBdr>
        <w:top w:val="none" w:sz="0" w:space="0" w:color="auto"/>
        <w:left w:val="none" w:sz="0" w:space="0" w:color="auto"/>
        <w:bottom w:val="none" w:sz="0" w:space="0" w:color="auto"/>
        <w:right w:val="none" w:sz="0" w:space="0" w:color="auto"/>
      </w:divBdr>
    </w:div>
    <w:div w:id="1946495452">
      <w:bodyDiv w:val="1"/>
      <w:marLeft w:val="0"/>
      <w:marRight w:val="0"/>
      <w:marTop w:val="0"/>
      <w:marBottom w:val="0"/>
      <w:divBdr>
        <w:top w:val="none" w:sz="0" w:space="0" w:color="auto"/>
        <w:left w:val="none" w:sz="0" w:space="0" w:color="auto"/>
        <w:bottom w:val="none" w:sz="0" w:space="0" w:color="auto"/>
        <w:right w:val="none" w:sz="0" w:space="0" w:color="auto"/>
      </w:divBdr>
    </w:div>
    <w:div w:id="2022394820">
      <w:bodyDiv w:val="1"/>
      <w:marLeft w:val="0"/>
      <w:marRight w:val="0"/>
      <w:marTop w:val="0"/>
      <w:marBottom w:val="0"/>
      <w:divBdr>
        <w:top w:val="none" w:sz="0" w:space="0" w:color="auto"/>
        <w:left w:val="none" w:sz="0" w:space="0" w:color="auto"/>
        <w:bottom w:val="none" w:sz="0" w:space="0" w:color="auto"/>
        <w:right w:val="none" w:sz="0" w:space="0" w:color="auto"/>
      </w:divBdr>
    </w:div>
    <w:div w:id="2031174682">
      <w:bodyDiv w:val="1"/>
      <w:marLeft w:val="0"/>
      <w:marRight w:val="0"/>
      <w:marTop w:val="0"/>
      <w:marBottom w:val="0"/>
      <w:divBdr>
        <w:top w:val="none" w:sz="0" w:space="0" w:color="auto"/>
        <w:left w:val="none" w:sz="0" w:space="0" w:color="auto"/>
        <w:bottom w:val="none" w:sz="0" w:space="0" w:color="auto"/>
        <w:right w:val="none" w:sz="0" w:space="0" w:color="auto"/>
      </w:divBdr>
    </w:div>
    <w:div w:id="2068868801">
      <w:bodyDiv w:val="1"/>
      <w:marLeft w:val="0"/>
      <w:marRight w:val="0"/>
      <w:marTop w:val="0"/>
      <w:marBottom w:val="0"/>
      <w:divBdr>
        <w:top w:val="none" w:sz="0" w:space="0" w:color="auto"/>
        <w:left w:val="none" w:sz="0" w:space="0" w:color="auto"/>
        <w:bottom w:val="none" w:sz="0" w:space="0" w:color="auto"/>
        <w:right w:val="none" w:sz="0" w:space="0" w:color="auto"/>
      </w:divBdr>
    </w:div>
    <w:div w:id="2124382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prosser@nationalgrid.co.uk" TargetMode="Externa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nrolment.adoption@smartdcc.co.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nsultations@smartdcc.co.uk"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DCC_Ofice Theme">
  <a:themeElements>
    <a:clrScheme name="Custom 5">
      <a:dk1>
        <a:srgbClr val="1F144A"/>
      </a:dk1>
      <a:lt1>
        <a:srgbClr val="FFFFFF"/>
      </a:lt1>
      <a:dk2>
        <a:srgbClr val="505253"/>
      </a:dk2>
      <a:lt2>
        <a:srgbClr val="9CA299"/>
      </a:lt2>
      <a:accent1>
        <a:srgbClr val="5C2071"/>
      </a:accent1>
      <a:accent2>
        <a:srgbClr val="861889"/>
      </a:accent2>
      <a:accent3>
        <a:srgbClr val="C51B58"/>
      </a:accent3>
      <a:accent4>
        <a:srgbClr val="1F144A"/>
      </a:accent4>
      <a:accent5>
        <a:srgbClr val="505253"/>
      </a:accent5>
      <a:accent6>
        <a:srgbClr val="9CA299"/>
      </a:accent6>
      <a:hlink>
        <a:srgbClr val="5C2071"/>
      </a:hlink>
      <a:folHlink>
        <a:srgbClr val="BF1B58"/>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spDef>
    <a:lnDef>
      <a:spPr bwMode="auto">
        <a:xfrm>
          <a:off x="0" y="0"/>
          <a:ext cx="1" cy="1"/>
        </a:xfrm>
        <a:custGeom>
          <a:avLst/>
          <a:gdLst/>
          <a:ahLst/>
          <a:cxnLst/>
          <a:rect l="0" t="0" r="0" b="0"/>
          <a:pathLst/>
        </a:custGeom>
        <a:solidFill>
          <a:srgbClr val="FF9900"/>
        </a:solidFill>
        <a:ln w="9525" cap="flat" cmpd="sng" algn="ctr">
          <a:solidFill>
            <a:srgbClr val="969696"/>
          </a:solidFill>
          <a:prstDash val="sysDot"/>
          <a:round/>
          <a:headEnd type="none" w="med" len="med"/>
          <a:tailEnd type="none" w="med" len="med"/>
        </a:ln>
        <a:effectLst/>
      </a:spPr>
      <a:bodyPr vert="horz" wrap="none" lIns="91440" tIns="45720" rIns="91440" bIns="45720" numCol="1" anchor="ctr" anchorCtr="0" compatLnSpc="1">
        <a:prstTxWarp prst="textNoShape">
          <a:avLst/>
        </a:prstTxWarp>
      </a:bodyPr>
      <a:lstStyle>
        <a:defPPr marL="0" marR="0" indent="0" algn="ctr" defTabSz="914400" rtl="0" eaLnBrk="0" fontAlgn="base" latinLnBrk="0" hangingPunct="0">
          <a:lnSpc>
            <a:spcPct val="100000"/>
          </a:lnSpc>
          <a:spcBef>
            <a:spcPct val="0"/>
          </a:spcBef>
          <a:spcAft>
            <a:spcPct val="0"/>
          </a:spcAft>
          <a:buClrTx/>
          <a:buSzTx/>
          <a:buFontTx/>
          <a:buNone/>
          <a:tabLst/>
          <a:defRPr kumimoji="0" lang="en-US" sz="2600" b="1" i="0" u="none" strike="noStrike" cap="none" normalizeH="0" baseline="0" smtClean="0">
            <a:ln>
              <a:noFill/>
            </a:ln>
            <a:solidFill>
              <a:schemeClr val="bg1"/>
            </a:solidFill>
            <a:effectLst/>
            <a:latin typeface="Arial" pitchFamily="34" charset="0"/>
            <a:ea typeface="ＭＳ Ｐゴシック"/>
            <a:cs typeface="ＭＳ Ｐゴシック"/>
          </a:defRPr>
        </a:defPPr>
      </a:lstStyle>
    </a:lnDef>
  </a:objectDefaults>
  <a:extraClrSchemeLst>
    <a:extraClrScheme>
      <a:clrScheme name="Capita Slide Master 1">
        <a:dk1>
          <a:srgbClr val="000000"/>
        </a:dk1>
        <a:lt1>
          <a:srgbClr val="FFFFFF"/>
        </a:lt1>
        <a:dk2>
          <a:srgbClr val="000000"/>
        </a:dk2>
        <a:lt2>
          <a:srgbClr val="808080"/>
        </a:lt2>
        <a:accent1>
          <a:srgbClr val="BBE0E3"/>
        </a:accent1>
        <a:accent2>
          <a:srgbClr val="333399"/>
        </a:accent2>
        <a:accent3>
          <a:srgbClr val="FFFFFF"/>
        </a:accent3>
        <a:accent4>
          <a:srgbClr val="000000"/>
        </a:accent4>
        <a:accent5>
          <a:srgbClr val="DAEDEF"/>
        </a:accent5>
        <a:accent6>
          <a:srgbClr val="2D2D8A"/>
        </a:accent6>
        <a:hlink>
          <a:srgbClr val="009999"/>
        </a:hlink>
        <a:folHlink>
          <a:srgbClr val="99CC00"/>
        </a:folHlink>
      </a:clrScheme>
      <a:clrMap bg1="lt1" tx1="dk1" bg2="lt2" tx2="dk2" accent1="accent1" accent2="accent2" accent3="accent3" accent4="accent4" accent5="accent5" accent6="accent6" hlink="hlink" folHlink="folHlink"/>
    </a:extraClrScheme>
    <a:extraClrScheme>
      <a:clrScheme name="Capita Slide Master 2">
        <a:dk1>
          <a:srgbClr val="000000"/>
        </a:dk1>
        <a:lt1>
          <a:srgbClr val="FFFFFF"/>
        </a:lt1>
        <a:dk2>
          <a:srgbClr val="000000"/>
        </a:dk2>
        <a:lt2>
          <a:srgbClr val="969696"/>
        </a:lt2>
        <a:accent1>
          <a:srgbClr val="FBDF53"/>
        </a:accent1>
        <a:accent2>
          <a:srgbClr val="FF9966"/>
        </a:accent2>
        <a:accent3>
          <a:srgbClr val="FFFFFF"/>
        </a:accent3>
        <a:accent4>
          <a:srgbClr val="000000"/>
        </a:accent4>
        <a:accent5>
          <a:srgbClr val="FDECB3"/>
        </a:accent5>
        <a:accent6>
          <a:srgbClr val="E78A5C"/>
        </a:accent6>
        <a:hlink>
          <a:srgbClr val="CC3300"/>
        </a:hlink>
        <a:folHlink>
          <a:srgbClr val="996600"/>
        </a:folHlink>
      </a:clrScheme>
      <a:clrMap bg1="lt1" tx1="dk1" bg2="lt2" tx2="dk2" accent1="accent1" accent2="accent2" accent3="accent3" accent4="accent4" accent5="accent5" accent6="accent6" hlink="hlink" folHlink="folHlink"/>
    </a:extraClrScheme>
    <a:extraClrScheme>
      <a:clrScheme name="Capita Slide Master 3">
        <a:dk1>
          <a:srgbClr val="000000"/>
        </a:dk1>
        <a:lt1>
          <a:srgbClr val="FFFFFF"/>
        </a:lt1>
        <a:dk2>
          <a:srgbClr val="000000"/>
        </a:dk2>
        <a:lt2>
          <a:srgbClr val="808080"/>
        </a:lt2>
        <a:accent1>
          <a:srgbClr val="99CCFF"/>
        </a:accent1>
        <a:accent2>
          <a:srgbClr val="CCCCFF"/>
        </a:accent2>
        <a:accent3>
          <a:srgbClr val="FFFFFF"/>
        </a:accent3>
        <a:accent4>
          <a:srgbClr val="000000"/>
        </a:accent4>
        <a:accent5>
          <a:srgbClr val="CAE2FF"/>
        </a:accent5>
        <a:accent6>
          <a:srgbClr val="B9B9E7"/>
        </a:accent6>
        <a:hlink>
          <a:srgbClr val="3333CC"/>
        </a:hlink>
        <a:folHlink>
          <a:srgbClr val="AF67FF"/>
        </a:folHlink>
      </a:clrScheme>
      <a:clrMap bg1="lt1" tx1="dk1" bg2="lt2" tx2="dk2" accent1="accent1" accent2="accent2" accent3="accent3" accent4="accent4" accent5="accent5" accent6="accent6" hlink="hlink" folHlink="folHlink"/>
    </a:extraClrScheme>
    <a:extraClrScheme>
      <a:clrScheme name="Capita Slide Master 4">
        <a:dk1>
          <a:srgbClr val="000000"/>
        </a:dk1>
        <a:lt1>
          <a:srgbClr val="DEF6F1"/>
        </a:lt1>
        <a:dk2>
          <a:srgbClr val="000000"/>
        </a:dk2>
        <a:lt2>
          <a:srgbClr val="969696"/>
        </a:lt2>
        <a:accent1>
          <a:srgbClr val="FFFFFF"/>
        </a:accent1>
        <a:accent2>
          <a:srgbClr val="8DC6FF"/>
        </a:accent2>
        <a:accent3>
          <a:srgbClr val="ECFAF7"/>
        </a:accent3>
        <a:accent4>
          <a:srgbClr val="000000"/>
        </a:accent4>
        <a:accent5>
          <a:srgbClr val="FFFFFF"/>
        </a:accent5>
        <a:accent6>
          <a:srgbClr val="7FB3E7"/>
        </a:accent6>
        <a:hlink>
          <a:srgbClr val="0066CC"/>
        </a:hlink>
        <a:folHlink>
          <a:srgbClr val="00A800"/>
        </a:folHlink>
      </a:clrScheme>
      <a:clrMap bg1="lt1" tx1="dk1" bg2="lt2" tx2="dk2" accent1="accent1" accent2="accent2" accent3="accent3" accent4="accent4" accent5="accent5" accent6="accent6" hlink="hlink" folHlink="folHlink"/>
    </a:extraClrScheme>
    <a:extraClrScheme>
      <a:clrScheme name="Capita Slide Master 5">
        <a:dk1>
          <a:srgbClr val="000000"/>
        </a:dk1>
        <a:lt1>
          <a:srgbClr val="FFFFD9"/>
        </a:lt1>
        <a:dk2>
          <a:srgbClr val="000000"/>
        </a:dk2>
        <a:lt2>
          <a:srgbClr val="777777"/>
        </a:lt2>
        <a:accent1>
          <a:srgbClr val="FFFFF7"/>
        </a:accent1>
        <a:accent2>
          <a:srgbClr val="33CCCC"/>
        </a:accent2>
        <a:accent3>
          <a:srgbClr val="FFFFE9"/>
        </a:accent3>
        <a:accent4>
          <a:srgbClr val="000000"/>
        </a:accent4>
        <a:accent5>
          <a:srgbClr val="FFFFFA"/>
        </a:accent5>
        <a:accent6>
          <a:srgbClr val="2DB9B9"/>
        </a:accent6>
        <a:hlink>
          <a:srgbClr val="FF5050"/>
        </a:hlink>
        <a:folHlink>
          <a:srgbClr val="FF9900"/>
        </a:folHlink>
      </a:clrScheme>
      <a:clrMap bg1="lt1" tx1="dk1" bg2="lt2" tx2="dk2" accent1="accent1" accent2="accent2" accent3="accent3" accent4="accent4" accent5="accent5" accent6="accent6" hlink="hlink" folHlink="folHlink"/>
    </a:extraClrScheme>
    <a:extraClrScheme>
      <a:clrScheme name="Capita Slide Master 6">
        <a:dk1>
          <a:srgbClr val="005A58"/>
        </a:dk1>
        <a:lt1>
          <a:srgbClr val="FFFFFF"/>
        </a:lt1>
        <a:dk2>
          <a:srgbClr val="008080"/>
        </a:dk2>
        <a:lt2>
          <a:srgbClr val="FFFF99"/>
        </a:lt2>
        <a:accent1>
          <a:srgbClr val="006462"/>
        </a:accent1>
        <a:accent2>
          <a:srgbClr val="6D6FC7"/>
        </a:accent2>
        <a:accent3>
          <a:srgbClr val="AAC0C0"/>
        </a:accent3>
        <a:accent4>
          <a:srgbClr val="DADADA"/>
        </a:accent4>
        <a:accent5>
          <a:srgbClr val="AAB8B7"/>
        </a:accent5>
        <a:accent6>
          <a:srgbClr val="6264B4"/>
        </a:accent6>
        <a:hlink>
          <a:srgbClr val="00FFFF"/>
        </a:hlink>
        <a:folHlink>
          <a:srgbClr val="00FF00"/>
        </a:folHlink>
      </a:clrScheme>
      <a:clrMap bg1="dk2" tx1="lt1" bg2="dk1" tx2="lt2" accent1="accent1" accent2="accent2" accent3="accent3" accent4="accent4" accent5="accent5" accent6="accent6" hlink="hlink" folHlink="folHlink"/>
    </a:extraClrScheme>
    <a:extraClrScheme>
      <a:clrScheme name="Capita Slide Master 7">
        <a:dk1>
          <a:srgbClr val="5C1F00"/>
        </a:dk1>
        <a:lt1>
          <a:srgbClr val="FFFFFF"/>
        </a:lt1>
        <a:dk2>
          <a:srgbClr val="800000"/>
        </a:dk2>
        <a:lt2>
          <a:srgbClr val="DFD293"/>
        </a:lt2>
        <a:accent1>
          <a:srgbClr val="CC3300"/>
        </a:accent1>
        <a:accent2>
          <a:srgbClr val="BE7960"/>
        </a:accent2>
        <a:accent3>
          <a:srgbClr val="C0AAAA"/>
        </a:accent3>
        <a:accent4>
          <a:srgbClr val="DADADA"/>
        </a:accent4>
        <a:accent5>
          <a:srgbClr val="E2ADAA"/>
        </a:accent5>
        <a:accent6>
          <a:srgbClr val="AC6D56"/>
        </a:accent6>
        <a:hlink>
          <a:srgbClr val="FFFF99"/>
        </a:hlink>
        <a:folHlink>
          <a:srgbClr val="D3A219"/>
        </a:folHlink>
      </a:clrScheme>
      <a:clrMap bg1="dk2" tx1="lt1" bg2="dk1" tx2="lt2" accent1="accent1" accent2="accent2" accent3="accent3" accent4="accent4" accent5="accent5" accent6="accent6" hlink="hlink" folHlink="folHlink"/>
    </a:extraClrScheme>
    <a:extraClrScheme>
      <a:clrScheme name="Capita Slide Master 8">
        <a:dk1>
          <a:srgbClr val="003366"/>
        </a:dk1>
        <a:lt1>
          <a:srgbClr val="FFFFFF"/>
        </a:lt1>
        <a:dk2>
          <a:srgbClr val="000099"/>
        </a:dk2>
        <a:lt2>
          <a:srgbClr val="CCFFFF"/>
        </a:lt2>
        <a:accent1>
          <a:srgbClr val="3366CC"/>
        </a:accent1>
        <a:accent2>
          <a:srgbClr val="00B000"/>
        </a:accent2>
        <a:accent3>
          <a:srgbClr val="AAAACA"/>
        </a:accent3>
        <a:accent4>
          <a:srgbClr val="DADADA"/>
        </a:accent4>
        <a:accent5>
          <a:srgbClr val="ADB8E2"/>
        </a:accent5>
        <a:accent6>
          <a:srgbClr val="009F00"/>
        </a:accent6>
        <a:hlink>
          <a:srgbClr val="66CCFF"/>
        </a:hlink>
        <a:folHlink>
          <a:srgbClr val="FFE701"/>
        </a:folHlink>
      </a:clrScheme>
      <a:clrMap bg1="dk2" tx1="lt1" bg2="dk1" tx2="lt2" accent1="accent1" accent2="accent2" accent3="accent3" accent4="accent4" accent5="accent5" accent6="accent6" hlink="hlink" folHlink="folHlink"/>
    </a:extraClrScheme>
    <a:extraClrScheme>
      <a:clrScheme name="Capita Slide Master 9">
        <a:dk1>
          <a:srgbClr val="336699"/>
        </a:dk1>
        <a:lt1>
          <a:srgbClr val="FFFFFF"/>
        </a:lt1>
        <a:dk2>
          <a:srgbClr val="000000"/>
        </a:dk2>
        <a:lt2>
          <a:srgbClr val="E3EBF1"/>
        </a:lt2>
        <a:accent1>
          <a:srgbClr val="003399"/>
        </a:accent1>
        <a:accent2>
          <a:srgbClr val="468A4B"/>
        </a:accent2>
        <a:accent3>
          <a:srgbClr val="AAAAAA"/>
        </a:accent3>
        <a:accent4>
          <a:srgbClr val="DADADA"/>
        </a:accent4>
        <a:accent5>
          <a:srgbClr val="AAADCA"/>
        </a:accent5>
        <a:accent6>
          <a:srgbClr val="3F7D43"/>
        </a:accent6>
        <a:hlink>
          <a:srgbClr val="66CCFF"/>
        </a:hlink>
        <a:folHlink>
          <a:srgbClr val="F0E500"/>
        </a:folHlink>
      </a:clrScheme>
      <a:clrMap bg1="dk2" tx1="lt1" bg2="dk1" tx2="lt2" accent1="accent1" accent2="accent2" accent3="accent3" accent4="accent4" accent5="accent5" accent6="accent6" hlink="hlink" folHlink="folHlink"/>
    </a:extraClrScheme>
    <a:extraClrScheme>
      <a:clrScheme name="Capita Slide Master 10">
        <a:dk1>
          <a:srgbClr val="777777"/>
        </a:dk1>
        <a:lt1>
          <a:srgbClr val="FFFFFF"/>
        </a:lt1>
        <a:dk2>
          <a:srgbClr val="686B5D"/>
        </a:dk2>
        <a:lt2>
          <a:srgbClr val="D1D1CB"/>
        </a:lt2>
        <a:accent1>
          <a:srgbClr val="909082"/>
        </a:accent1>
        <a:accent2>
          <a:srgbClr val="809EA8"/>
        </a:accent2>
        <a:accent3>
          <a:srgbClr val="B9BAB6"/>
        </a:accent3>
        <a:accent4>
          <a:srgbClr val="DADADA"/>
        </a:accent4>
        <a:accent5>
          <a:srgbClr val="C6C6C1"/>
        </a:accent5>
        <a:accent6>
          <a:srgbClr val="738F98"/>
        </a:accent6>
        <a:hlink>
          <a:srgbClr val="FFCC66"/>
        </a:hlink>
        <a:folHlink>
          <a:srgbClr val="E9DCB9"/>
        </a:folHlink>
      </a:clrScheme>
      <a:clrMap bg1="dk2" tx1="lt1" bg2="dk1" tx2="lt2" accent1="accent1" accent2="accent2" accent3="accent3" accent4="accent4" accent5="accent5" accent6="accent6" hlink="hlink" folHlink="folHlink"/>
    </a:extraClrScheme>
    <a:extraClrScheme>
      <a:clrScheme name="Capita Slide Master 11">
        <a:dk1>
          <a:srgbClr val="3E3E5C"/>
        </a:dk1>
        <a:lt1>
          <a:srgbClr val="FFFFFF"/>
        </a:lt1>
        <a:dk2>
          <a:srgbClr val="666699"/>
        </a:dk2>
        <a:lt2>
          <a:srgbClr val="FFFFFF"/>
        </a:lt2>
        <a:accent1>
          <a:srgbClr val="60597B"/>
        </a:accent1>
        <a:accent2>
          <a:srgbClr val="6666FF"/>
        </a:accent2>
        <a:accent3>
          <a:srgbClr val="B8B8CA"/>
        </a:accent3>
        <a:accent4>
          <a:srgbClr val="DADADA"/>
        </a:accent4>
        <a:accent5>
          <a:srgbClr val="B6B5BF"/>
        </a:accent5>
        <a:accent6>
          <a:srgbClr val="5C5CE7"/>
        </a:accent6>
        <a:hlink>
          <a:srgbClr val="99CCFF"/>
        </a:hlink>
        <a:folHlink>
          <a:srgbClr val="FFFF99"/>
        </a:folHlink>
      </a:clrScheme>
      <a:clrMap bg1="dk2" tx1="lt1" bg2="dk1" tx2="lt2" accent1="accent1" accent2="accent2" accent3="accent3" accent4="accent4" accent5="accent5" accent6="accent6" hlink="hlink" folHlink="folHlink"/>
    </a:extraClrScheme>
    <a:extraClrScheme>
      <a:clrScheme name="Capita Slide Master 12">
        <a:dk1>
          <a:srgbClr val="2D2015"/>
        </a:dk1>
        <a:lt1>
          <a:srgbClr val="FFFFFF"/>
        </a:lt1>
        <a:dk2>
          <a:srgbClr val="523E26"/>
        </a:dk2>
        <a:lt2>
          <a:srgbClr val="DFC08D"/>
        </a:lt2>
        <a:accent1>
          <a:srgbClr val="8C7B70"/>
        </a:accent1>
        <a:accent2>
          <a:srgbClr val="8F5F2F"/>
        </a:accent2>
        <a:accent3>
          <a:srgbClr val="B3AFAC"/>
        </a:accent3>
        <a:accent4>
          <a:srgbClr val="DADADA"/>
        </a:accent4>
        <a:accent5>
          <a:srgbClr val="C5BFBB"/>
        </a:accent5>
        <a:accent6>
          <a:srgbClr val="81552A"/>
        </a:accent6>
        <a:hlink>
          <a:srgbClr val="CCB400"/>
        </a:hlink>
        <a:folHlink>
          <a:srgbClr val="8C9EA0"/>
        </a:folHlink>
      </a:clrScheme>
      <a:clrMap bg1="dk2" tx1="lt1" bg2="dk1" tx2="lt2" accent1="accent1" accent2="accent2" accent3="accent3" accent4="accent4" accent5="accent5" accent6="accent6" hlink="hlink" folHlink="folHlink"/>
    </a:extraClrScheme>
    <a:extraClrScheme>
      <a:clrScheme name="Capita Slide Master 13">
        <a:dk1>
          <a:srgbClr val="005B82"/>
        </a:dk1>
        <a:lt1>
          <a:srgbClr val="FFFFFF"/>
        </a:lt1>
        <a:dk2>
          <a:srgbClr val="3DB7E4"/>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
      <a:clrScheme name="Capita Slide Master 14">
        <a:dk1>
          <a:srgbClr val="005B82"/>
        </a:dk1>
        <a:lt1>
          <a:srgbClr val="FFFFFF"/>
        </a:lt1>
        <a:dk2>
          <a:srgbClr val="005B82"/>
        </a:dk2>
        <a:lt2>
          <a:srgbClr val="C7C2BA"/>
        </a:lt2>
        <a:accent1>
          <a:srgbClr val="3DB7E4"/>
        </a:accent1>
        <a:accent2>
          <a:srgbClr val="F0AB00"/>
        </a:accent2>
        <a:accent3>
          <a:srgbClr val="FFFFFF"/>
        </a:accent3>
        <a:accent4>
          <a:srgbClr val="004C6E"/>
        </a:accent4>
        <a:accent5>
          <a:srgbClr val="AFD8EF"/>
        </a:accent5>
        <a:accent6>
          <a:srgbClr val="D99B00"/>
        </a:accent6>
        <a:hlink>
          <a:srgbClr val="631D76"/>
        </a:hlink>
        <a:folHlink>
          <a:srgbClr val="008566"/>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CC Document" ma:contentTypeID="0x0101003D99FF4BEE06314F802DDB72832DC48E006063EB708B9A5C458116616B5B466FF0" ma:contentTypeVersion="23" ma:contentTypeDescription="" ma:contentTypeScope="" ma:versionID="3723d86d2ac907fbac1c354ee70fc54e">
  <xsd:schema xmlns:xsd="http://www.w3.org/2001/XMLSchema" xmlns:xs="http://www.w3.org/2001/XMLSchema" xmlns:p="http://schemas.microsoft.com/office/2006/metadata/properties" xmlns:ns2="a506c0bb-1327-4a28-8c99-5f231145fa20" xmlns:ns3="da744a71-2330-474e-a486-0b4f01e3938d" targetNamespace="http://schemas.microsoft.com/office/2006/metadata/properties" ma:root="true" ma:fieldsID="6ce56e543be53417dfef676679789713" ns2:_="" ns3:_="">
    <xsd:import namespace="a506c0bb-1327-4a28-8c99-5f231145fa20"/>
    <xsd:import namespace="da744a71-2330-474e-a486-0b4f01e3938d"/>
    <xsd:element name="properties">
      <xsd:complexType>
        <xsd:sequence>
          <xsd:element name="documentManagement">
            <xsd:complexType>
              <xsd:all>
                <xsd:element ref="ns2:DCCDepartmentTaxHTField0" minOccurs="0"/>
                <xsd:element ref="ns2:SmartDCCSecurityClassificationTaxHTField0" minOccurs="0"/>
                <xsd:element ref="ns2:DCCReleaseTaxHTField0" minOccurs="0"/>
                <xsd:element ref="ns2:DCCDocumentStatusTaxHTField0" minOccurs="0"/>
                <xsd:element ref="ns2:SmartDCCDocumentTypeTaxHTField0"/>
                <xsd:element ref="ns2:TaxCatchAllLabel" minOccurs="0"/>
                <xsd:element ref="ns2:TaxCatchAll" minOccurs="0"/>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06c0bb-1327-4a28-8c99-5f231145fa20" elementFormDefault="qualified">
    <xsd:import namespace="http://schemas.microsoft.com/office/2006/documentManagement/types"/>
    <xsd:import namespace="http://schemas.microsoft.com/office/infopath/2007/PartnerControls"/>
    <xsd:element name="DCCDepartmentTaxHTField0" ma:index="8" ma:taxonomy="true" ma:internalName="DCCDepartmentTaxHTField0" ma:taxonomyFieldName="DCCDepartment" ma:displayName="Department" ma:readOnly="false" ma:default="" ma:fieldId="{b9f9ec24-0bfc-45a9-abdd-d8372c6d0d69}" ma:sspId="0e1c6c84-f403-4bbd-88d7-452781fd505b" ma:termSetId="0f91fb79-d7ea-4103-af5c-528c8aa72ced" ma:anchorId="00000000-0000-0000-0000-000000000000" ma:open="false" ma:isKeyword="false">
      <xsd:complexType>
        <xsd:sequence>
          <xsd:element ref="pc:Terms" minOccurs="0" maxOccurs="1"/>
        </xsd:sequence>
      </xsd:complexType>
    </xsd:element>
    <xsd:element name="SmartDCCSecurityClassificationTaxHTField0" ma:index="10" ma:taxonomy="true" ma:internalName="SmartDCCSecurityClassificationTaxHTField0" ma:taxonomyFieldName="SmartDCCSecurityClassification" ma:displayName="Security Classification" ma:readOnly="false" ma:default="" ma:fieldId="{3e43b1f9-0d18-44d2-bac5-2e9e8a2947a1}" ma:sspId="0e1c6c84-f403-4bbd-88d7-452781fd505b" ma:termSetId="59549b20-0bdd-481f-91a7-af2e6fd79198" ma:anchorId="00000000-0000-0000-0000-000000000000" ma:open="false" ma:isKeyword="false">
      <xsd:complexType>
        <xsd:sequence>
          <xsd:element ref="pc:Terms" minOccurs="0" maxOccurs="1"/>
        </xsd:sequence>
      </xsd:complexType>
    </xsd:element>
    <xsd:element name="DCCReleaseTaxHTField0" ma:index="12" nillable="true" ma:taxonomy="true" ma:internalName="DCCReleaseTaxHTField0" ma:taxonomyFieldName="DCCRelease" ma:displayName="Release" ma:default="" ma:fieldId="{0b72bca7-9f10-45b0-9533-710b1462c703}" ma:sspId="0e1c6c84-f403-4bbd-88d7-452781fd505b" ma:termSetId="36c335b6-936d-4a43-84c0-b60786099ded" ma:anchorId="00000000-0000-0000-0000-000000000000" ma:open="false" ma:isKeyword="false">
      <xsd:complexType>
        <xsd:sequence>
          <xsd:element ref="pc:Terms" minOccurs="0" maxOccurs="1"/>
        </xsd:sequence>
      </xsd:complexType>
    </xsd:element>
    <xsd:element name="DCCDocumentStatusTaxHTField0" ma:index="14" ma:taxonomy="true" ma:internalName="DCCDocumentStatusTaxHTField0" ma:taxonomyFieldName="DCCDocumentStatus" ma:displayName="Document Status" ma:readOnly="false" ma:default="" ma:fieldId="{f5f46dc2-fe38-46ff-9a0e-9e05826f4b0d}" ma:sspId="0e1c6c84-f403-4bbd-88d7-452781fd505b" ma:termSetId="ebae76e0-a2da-4e00-b8fe-cb90c59b09bc" ma:anchorId="00000000-0000-0000-0000-000000000000" ma:open="false" ma:isKeyword="false">
      <xsd:complexType>
        <xsd:sequence>
          <xsd:element ref="pc:Terms" minOccurs="0" maxOccurs="1"/>
        </xsd:sequence>
      </xsd:complexType>
    </xsd:element>
    <xsd:element name="SmartDCCDocumentTypeTaxHTField0" ma:index="16" ma:taxonomy="true" ma:internalName="SmartDCCDocumentTypeTaxHTField0" ma:taxonomyFieldName="SmartDCCDocumentType" ma:displayName="Document Type" ma:readOnly="false" ma:default="" ma:fieldId="{6411331f-21b0-45cd-a1f2-c0d9013dd4f1}" ma:taxonomyMulti="true" ma:sspId="0e1c6c84-f403-4bbd-88d7-452781fd505b" ma:termSetId="07111426-f3e4-4c85-84d5-b8db9132d477"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1b9ce115-9d0e-47ac-8770-d7519d735bf8}" ma:internalName="TaxCatchAllLabel" ma:readOnly="true" ma:showField="CatchAllDataLabel"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TaxCatchAll" ma:index="19" nillable="true" ma:displayName="Taxonomy Catch All Column" ma:hidden="true" ma:list="{1b9ce115-9d0e-47ac-8770-d7519d735bf8}" ma:internalName="TaxCatchAll" ma:showField="CatchAllData" ma:web="a506c0bb-1327-4a28-8c99-5f231145fa20">
      <xsd:complexType>
        <xsd:complexContent>
          <xsd:extension base="dms:MultiChoiceLookup">
            <xsd:sequence>
              <xsd:element name="Value" type="dms:Lookup" maxOccurs="unbounded" minOccurs="0" nillable="true"/>
            </xsd:sequence>
          </xsd:extension>
        </xsd:complexContent>
      </xsd:complexType>
    </xsd:element>
    <xsd:element name="_dlc_DocId" ma:index="20" nillable="true" ma:displayName="Document ID Value" ma:description="The value of the document ID assigned to this item." ma:indexed="true" ma:internalName="_dlc_DocId" ma:readOnly="true">
      <xsd:simpleType>
        <xsd:restriction base="dms:Text"/>
      </xsd:simpleType>
    </xsd:element>
    <xsd:element name="_dlc_DocIdUrl" ma:index="2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a744a71-2330-474e-a486-0b4f01e3938d"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506c0bb-1327-4a28-8c99-5f231145fa20" xsi:nil="true"/>
    <SmartDCCDocumentTypeTaxHTField0 xmlns="a506c0bb-1327-4a28-8c99-5f231145fa20">
      <Terms xmlns="http://schemas.microsoft.com/office/infopath/2007/PartnerControls"/>
    </SmartDCCDocumentTypeTaxHTField0>
    <SmartDCCSecurityClassificationTaxHTField0 xmlns="a506c0bb-1327-4a28-8c99-5f231145fa20">
      <Terms xmlns="http://schemas.microsoft.com/office/infopath/2007/PartnerControls"/>
    </SmartDCCSecurityClassificationTaxHTField0>
    <DCCReleaseTaxHTField0 xmlns="a506c0bb-1327-4a28-8c99-5f231145fa20">
      <Terms xmlns="http://schemas.microsoft.com/office/infopath/2007/PartnerControls"/>
    </DCCReleaseTaxHTField0>
    <DCCDocumentStatusTaxHTField0 xmlns="a506c0bb-1327-4a28-8c99-5f231145fa20">
      <Terms xmlns="http://schemas.microsoft.com/office/infopath/2007/PartnerControls"/>
    </DCCDocumentStatusTaxHTField0>
    <DCCDepartmentTaxHTField0 xmlns="a506c0bb-1327-4a28-8c99-5f231145fa20">
      <Terms xmlns="http://schemas.microsoft.com/office/infopath/2007/PartnerControls"/>
    </DCCDepartmentTaxHTField0>
    <_dlc_DocId xmlns="a506c0bb-1327-4a28-8c99-5f231145fa20">NDYQVYFD76VK-1947674797-333</_dlc_DocId>
    <_dlc_DocIdUrl xmlns="a506c0bb-1327-4a28-8c99-5f231145fa20">
      <Url>https://smartdcc.sharepoint.com/sites/DCCChargingReview/_layouts/15/DocIdRedir.aspx?ID=NDYQVYFD76VK-1947674797-333</Url>
      <Description>NDYQVYFD76VK-1947674797-333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BB9FA1A-448F-4387-A06E-3DE470C928B4}"/>
</file>

<file path=customXml/itemProps2.xml><?xml version="1.0" encoding="utf-8"?>
<ds:datastoreItem xmlns:ds="http://schemas.openxmlformats.org/officeDocument/2006/customXml" ds:itemID="{2073235F-EE2F-43B9-8DED-28244F9AF450}">
  <ds:schemaRefs>
    <ds:schemaRef ds:uri="http://schemas.microsoft.com/office/2006/documentManagement/types"/>
    <ds:schemaRef ds:uri="e8a1de29-914b-4261-8471-9d36de65d539"/>
    <ds:schemaRef ds:uri="af099861-8497-4a35-8ea8-f127fb0f0918"/>
    <ds:schemaRef ds:uri="http://purl.org/dc/elements/1.1/"/>
    <ds:schemaRef ds:uri="http://schemas.microsoft.com/office/2006/metadata/properties"/>
    <ds:schemaRef ds:uri="caadc02b-7cc9-4736-8b89-7694a3a12b48"/>
    <ds:schemaRef ds:uri="http://schemas.microsoft.com/office/infopath/2007/PartnerControls"/>
    <ds:schemaRef ds:uri="http://purl.org/dc/terms/"/>
    <ds:schemaRef ds:uri="http://schemas.openxmlformats.org/package/2006/metadata/core-properties"/>
    <ds:schemaRef ds:uri="d7916470-bd19-409f-9659-46df29f638c0"/>
    <ds:schemaRef ds:uri="http://www.w3.org/XML/1998/namespace"/>
    <ds:schemaRef ds:uri="http://purl.org/dc/dcmitype/"/>
  </ds:schemaRefs>
</ds:datastoreItem>
</file>

<file path=customXml/itemProps3.xml><?xml version="1.0" encoding="utf-8"?>
<ds:datastoreItem xmlns:ds="http://schemas.openxmlformats.org/officeDocument/2006/customXml" ds:itemID="{15E95E48-08DB-4E66-858F-55FEE9C22590}">
  <ds:schemaRefs>
    <ds:schemaRef ds:uri="http://schemas.microsoft.com/sharepoint/v3/contenttype/forms"/>
  </ds:schemaRefs>
</ds:datastoreItem>
</file>

<file path=customXml/itemProps4.xml><?xml version="1.0" encoding="utf-8"?>
<ds:datastoreItem xmlns:ds="http://schemas.openxmlformats.org/officeDocument/2006/customXml" ds:itemID="{F31AEAD4-E4EF-4DDF-B8CA-50A2EF3AFFA0}">
  <ds:schemaRefs>
    <ds:schemaRef ds:uri="http://schemas.openxmlformats.org/officeDocument/2006/bibliography"/>
  </ds:schemaRefs>
</ds:datastoreItem>
</file>

<file path=customXml/itemProps5.xml><?xml version="1.0" encoding="utf-8"?>
<ds:datastoreItem xmlns:ds="http://schemas.openxmlformats.org/officeDocument/2006/customXml" ds:itemID="{80AE9E58-27BC-4742-9BFF-E93074CB4E69}"/>
</file>

<file path=docProps/app.xml><?xml version="1.0" encoding="utf-8"?>
<Properties xmlns="http://schemas.openxmlformats.org/officeDocument/2006/extended-properties" xmlns:vt="http://schemas.openxmlformats.org/officeDocument/2006/docPropsVTypes">
  <Template>Normal</Template>
  <TotalTime>0</TotalTime>
  <Pages>16</Pages>
  <Words>2663</Words>
  <Characters>15184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2024-06-25T09:02:00Z</dcterms:created>
  <dcterms:modified xsi:type="dcterms:W3CDTF">2024-06-25T09:17:00Z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620784-d3c8-4627-b614-0de6b80cc1d8_Enabled">
    <vt:lpwstr>true</vt:lpwstr>
  </property>
  <property fmtid="{D5CDD505-2E9C-101B-9397-08002B2CF9AE}" pid="3" name="MSIP_Label_6f620784-d3c8-4627-b614-0de6b80cc1d8_SetDate">
    <vt:lpwstr>2022-08-04T08:00:12Z</vt:lpwstr>
  </property>
  <property fmtid="{D5CDD505-2E9C-101B-9397-08002B2CF9AE}" pid="4" name="MSIP_Label_6f620784-d3c8-4627-b614-0de6b80cc1d8_Method">
    <vt:lpwstr>Privileged</vt:lpwstr>
  </property>
  <property fmtid="{D5CDD505-2E9C-101B-9397-08002B2CF9AE}" pid="5" name="MSIP_Label_6f620784-d3c8-4627-b614-0de6b80cc1d8_Name">
    <vt:lpwstr>DCC Controlled</vt:lpwstr>
  </property>
  <property fmtid="{D5CDD505-2E9C-101B-9397-08002B2CF9AE}" pid="6" name="MSIP_Label_6f620784-d3c8-4627-b614-0de6b80cc1d8_SiteId">
    <vt:lpwstr>d77ea84a-f7fd-4928-b8a3-64763b0a7710</vt:lpwstr>
  </property>
  <property fmtid="{D5CDD505-2E9C-101B-9397-08002B2CF9AE}" pid="7" name="MSIP_Label_6f620784-d3c8-4627-b614-0de6b80cc1d8_ActionId">
    <vt:lpwstr>3dfea34a-7d45-43e0-87aa-eba7226cc0b7</vt:lpwstr>
  </property>
  <property fmtid="{D5CDD505-2E9C-101B-9397-08002B2CF9AE}" pid="8" name="MSIP_Label_6f620784-d3c8-4627-b614-0de6b80cc1d8_ContentBits">
    <vt:lpwstr>3</vt:lpwstr>
  </property>
  <property fmtid="{D5CDD505-2E9C-101B-9397-08002B2CF9AE}" pid="9" name="ContentTypeId">
    <vt:lpwstr>0x0101003D99FF4BEE06314F802DDB72832DC48E006063EB708B9A5C458116616B5B466FF0</vt:lpwstr>
  </property>
  <property fmtid="{D5CDD505-2E9C-101B-9397-08002B2CF9AE}" pid="10" name="Order">
    <vt:r8>400</vt:r8>
  </property>
  <property fmtid="{D5CDD505-2E9C-101B-9397-08002B2CF9AE}" pid="11" name="xd_Signature">
    <vt:bool>false</vt:bool>
  </property>
  <property fmtid="{D5CDD505-2E9C-101B-9397-08002B2CF9AE}" pid="12" name="xd_ProgID">
    <vt:lpwstr/>
  </property>
  <property fmtid="{D5CDD505-2E9C-101B-9397-08002B2CF9AE}" pid="13" name="_ExtendedDescription">
    <vt:lpwstr/>
  </property>
  <property fmtid="{D5CDD505-2E9C-101B-9397-08002B2CF9AE}" pid="14" name="TriggerFlowInfo">
    <vt:lpwstr/>
  </property>
  <property fmtid="{D5CDD505-2E9C-101B-9397-08002B2CF9AE}" pid="15" name="ComplianceAssetId">
    <vt:lpwstr/>
  </property>
  <property fmtid="{D5CDD505-2E9C-101B-9397-08002B2CF9AE}" pid="16" name="TemplateUrl">
    <vt:lpwstr/>
  </property>
  <property fmtid="{D5CDD505-2E9C-101B-9397-08002B2CF9AE}" pid="17" name="MediaServiceImageTags">
    <vt:lpwstr/>
  </property>
  <property fmtid="{D5CDD505-2E9C-101B-9397-08002B2CF9AE}" pid="18" name="_dlc_DocIdItemGuid">
    <vt:lpwstr>6ac2cff2-27b6-41ab-9af5-57f14dee1356</vt:lpwstr>
  </property>
  <property fmtid="{D5CDD505-2E9C-101B-9397-08002B2CF9AE}" pid="19" name="DCCDocumentStatus">
    <vt:lpwstr/>
  </property>
  <property fmtid="{D5CDD505-2E9C-101B-9397-08002B2CF9AE}" pid="20" name="SmartDCCDocumentType">
    <vt:lpwstr/>
  </property>
  <property fmtid="{D5CDD505-2E9C-101B-9397-08002B2CF9AE}" pid="21" name="SmartDCCSecurityClassification">
    <vt:lpwstr/>
  </property>
  <property fmtid="{D5CDD505-2E9C-101B-9397-08002B2CF9AE}" pid="22" name="DCCRelease">
    <vt:lpwstr/>
  </property>
  <property fmtid="{D5CDD505-2E9C-101B-9397-08002B2CF9AE}" pid="23" name="DCCDepartment">
    <vt:lpwstr/>
  </property>
</Properties>
</file>